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03" w:rsidRPr="003A53D5" w:rsidRDefault="00E02F03" w:rsidP="0046193E">
      <w:pPr>
        <w:pStyle w:val="Heading9"/>
        <w:rPr>
          <w:b w:val="0"/>
          <w:sz w:val="24"/>
          <w:szCs w:val="24"/>
        </w:rPr>
      </w:pPr>
      <w:r w:rsidRPr="004E62F9">
        <w:rPr>
          <w:b w:val="0"/>
          <w:sz w:val="24"/>
          <w:szCs w:val="24"/>
        </w:rPr>
        <w:t>Приложение</w:t>
      </w:r>
      <w:r w:rsidRPr="003A53D5">
        <w:rPr>
          <w:b w:val="0"/>
          <w:sz w:val="24"/>
          <w:szCs w:val="24"/>
        </w:rPr>
        <w:t xml:space="preserve"> № </w:t>
      </w:r>
      <w:r w:rsidRPr="00A402B4">
        <w:rPr>
          <w:b w:val="0"/>
          <w:sz w:val="24"/>
          <w:szCs w:val="24"/>
        </w:rPr>
        <w:t>4</w:t>
      </w:r>
      <w:r>
        <w:rPr>
          <w:b w:val="0"/>
          <w:sz w:val="24"/>
          <w:szCs w:val="24"/>
        </w:rPr>
        <w:t>.1</w:t>
      </w:r>
    </w:p>
    <w:p w:rsidR="00E02F03" w:rsidRPr="002A7962" w:rsidRDefault="00E02F03" w:rsidP="0046193E">
      <w:pPr>
        <w:jc w:val="right"/>
        <w:rPr>
          <w:spacing w:val="-4"/>
          <w:sz w:val="24"/>
          <w:szCs w:val="24"/>
        </w:rPr>
      </w:pPr>
      <w:r w:rsidRPr="00A402B4">
        <w:rPr>
          <w:spacing w:val="-4"/>
          <w:sz w:val="24"/>
          <w:szCs w:val="24"/>
        </w:rPr>
        <w:t>к Договору энергоснабжения №</w:t>
      </w:r>
      <w:r>
        <w:rPr>
          <w:spacing w:val="-4"/>
          <w:sz w:val="24"/>
          <w:szCs w:val="24"/>
        </w:rPr>
        <w:t xml:space="preserve"> _______________</w:t>
      </w:r>
    </w:p>
    <w:p w:rsidR="00E02F03" w:rsidRPr="00A402B4" w:rsidRDefault="00E02F03" w:rsidP="0046193E">
      <w:pPr>
        <w:shd w:val="clear" w:color="auto" w:fill="FFFFFF"/>
        <w:jc w:val="right"/>
        <w:rPr>
          <w:b/>
          <w:color w:val="000000"/>
          <w:spacing w:val="-7"/>
          <w:sz w:val="24"/>
          <w:szCs w:val="24"/>
        </w:rPr>
      </w:pPr>
      <w:r w:rsidRPr="00A402B4">
        <w:rPr>
          <w:spacing w:val="-4"/>
          <w:sz w:val="24"/>
          <w:szCs w:val="24"/>
        </w:rPr>
        <w:t xml:space="preserve">от </w:t>
      </w:r>
      <w:r>
        <w:rPr>
          <w:spacing w:val="-4"/>
          <w:sz w:val="24"/>
          <w:szCs w:val="24"/>
        </w:rPr>
        <w:t>____________ 202_г.</w:t>
      </w:r>
    </w:p>
    <w:p w:rsidR="00E02F03" w:rsidRPr="004474FC" w:rsidRDefault="00E02F03" w:rsidP="001C3F27">
      <w:pPr>
        <w:jc w:val="center"/>
        <w:rPr>
          <w:sz w:val="24"/>
          <w:szCs w:val="24"/>
        </w:rPr>
      </w:pPr>
    </w:p>
    <w:p w:rsidR="00E02F03" w:rsidRPr="000E0E41" w:rsidRDefault="00E02F03" w:rsidP="00BD10BB">
      <w:pPr>
        <w:ind w:firstLine="720"/>
        <w:jc w:val="center"/>
        <w:rPr>
          <w:b/>
          <w:sz w:val="24"/>
          <w:szCs w:val="24"/>
        </w:rPr>
      </w:pPr>
      <w:r w:rsidRPr="000E0E41">
        <w:rPr>
          <w:b/>
          <w:sz w:val="24"/>
          <w:szCs w:val="24"/>
        </w:rPr>
        <w:t>ПОРЯДОК</w:t>
      </w:r>
    </w:p>
    <w:p w:rsidR="00E02F03" w:rsidRPr="00795B4A" w:rsidRDefault="00E02F03" w:rsidP="000F2BB7">
      <w:pPr>
        <w:ind w:firstLine="720"/>
        <w:jc w:val="center"/>
        <w:rPr>
          <w:b/>
          <w:sz w:val="24"/>
          <w:szCs w:val="24"/>
        </w:rPr>
      </w:pPr>
      <w:r w:rsidRPr="00851E3E">
        <w:rPr>
          <w:b/>
          <w:sz w:val="24"/>
          <w:szCs w:val="24"/>
        </w:rPr>
        <w:t>ОПРЕДЕЛЕНИЯ ОБЪ</w:t>
      </w:r>
      <w:r>
        <w:rPr>
          <w:b/>
          <w:sz w:val="24"/>
          <w:szCs w:val="24"/>
        </w:rPr>
        <w:t>Ё</w:t>
      </w:r>
      <w:r w:rsidRPr="00851E3E">
        <w:rPr>
          <w:b/>
          <w:sz w:val="24"/>
          <w:szCs w:val="24"/>
        </w:rPr>
        <w:t>МА И РАСЧ</w:t>
      </w:r>
      <w:r>
        <w:rPr>
          <w:b/>
          <w:sz w:val="24"/>
          <w:szCs w:val="24"/>
        </w:rPr>
        <w:t>Ё</w:t>
      </w:r>
      <w:r w:rsidRPr="00851E3E">
        <w:rPr>
          <w:b/>
          <w:sz w:val="24"/>
          <w:szCs w:val="24"/>
        </w:rPr>
        <w:t>ТА СТОИМОСТИ ПОСТАВЛЕННОЙ ЭЛЕКТРИЧЕСКОЙ ЭНЕРГИИ (МОЩНОСТИ)</w:t>
      </w:r>
    </w:p>
    <w:p w:rsidR="00E02F03" w:rsidRDefault="00E02F03" w:rsidP="00BD10BB">
      <w:pPr>
        <w:ind w:firstLine="720"/>
        <w:jc w:val="center"/>
        <w:rPr>
          <w:sz w:val="24"/>
          <w:szCs w:val="24"/>
        </w:rPr>
      </w:pPr>
      <w:r w:rsidRPr="00795B4A">
        <w:rPr>
          <w:b/>
          <w:sz w:val="24"/>
          <w:szCs w:val="24"/>
        </w:rPr>
        <w:t>при заключени</w:t>
      </w:r>
      <w:r w:rsidRPr="004474FC">
        <w:rPr>
          <w:b/>
          <w:sz w:val="24"/>
          <w:szCs w:val="24"/>
        </w:rPr>
        <w:t>и договора электроснабжения в отношении объ</w:t>
      </w:r>
      <w:r>
        <w:rPr>
          <w:b/>
          <w:sz w:val="24"/>
          <w:szCs w:val="24"/>
        </w:rPr>
        <w:t>ё</w:t>
      </w:r>
      <w:r w:rsidRPr="00795B4A">
        <w:rPr>
          <w:b/>
          <w:sz w:val="24"/>
          <w:szCs w:val="24"/>
        </w:rPr>
        <w:t xml:space="preserve">мов на </w:t>
      </w:r>
      <w:r w:rsidRPr="004474FC">
        <w:rPr>
          <w:b/>
          <w:sz w:val="24"/>
          <w:szCs w:val="24"/>
        </w:rPr>
        <w:t>общедомовые нужды и потерь во внутридомовых сетях и наличии общедомового прибора уч</w:t>
      </w:r>
      <w:r>
        <w:rPr>
          <w:b/>
          <w:sz w:val="24"/>
          <w:szCs w:val="24"/>
        </w:rPr>
        <w:t>ё</w:t>
      </w:r>
      <w:r w:rsidRPr="00795B4A">
        <w:rPr>
          <w:b/>
          <w:sz w:val="24"/>
          <w:szCs w:val="24"/>
        </w:rPr>
        <w:t>та</w:t>
      </w:r>
      <w:r>
        <w:rPr>
          <w:sz w:val="24"/>
          <w:szCs w:val="24"/>
        </w:rPr>
        <w:t xml:space="preserve"> </w:t>
      </w:r>
    </w:p>
    <w:p w:rsidR="00E02F03" w:rsidRPr="00851E3E" w:rsidRDefault="00E02F03" w:rsidP="00BD10BB">
      <w:pPr>
        <w:ind w:firstLine="720"/>
        <w:jc w:val="center"/>
        <w:rPr>
          <w:sz w:val="24"/>
          <w:szCs w:val="24"/>
        </w:rPr>
      </w:pPr>
      <w:r w:rsidRPr="00851E3E">
        <w:rPr>
          <w:sz w:val="24"/>
          <w:szCs w:val="24"/>
        </w:rPr>
        <w:t>(далее – Порядок)</w:t>
      </w:r>
    </w:p>
    <w:p w:rsidR="00E02F03" w:rsidRDefault="00E02F03" w:rsidP="003250CE">
      <w:pPr>
        <w:ind w:firstLine="720"/>
        <w:rPr>
          <w:b/>
          <w:sz w:val="24"/>
          <w:szCs w:val="24"/>
        </w:rPr>
      </w:pPr>
    </w:p>
    <w:p w:rsidR="00E02F03" w:rsidRPr="000E0E41" w:rsidRDefault="00E02F03" w:rsidP="003250CE">
      <w:pPr>
        <w:ind w:firstLine="720"/>
        <w:rPr>
          <w:b/>
          <w:sz w:val="24"/>
          <w:szCs w:val="24"/>
        </w:rPr>
      </w:pPr>
      <w:r w:rsidRPr="000E0E41">
        <w:rPr>
          <w:b/>
          <w:sz w:val="24"/>
          <w:szCs w:val="24"/>
        </w:rPr>
        <w:t>1. Цена электрической энергии (мощности)</w:t>
      </w:r>
    </w:p>
    <w:p w:rsidR="00E02F03" w:rsidRPr="00795B4A" w:rsidRDefault="00E02F03" w:rsidP="003250CE">
      <w:pPr>
        <w:ind w:firstLine="720"/>
        <w:jc w:val="both"/>
        <w:rPr>
          <w:b/>
          <w:sz w:val="24"/>
          <w:szCs w:val="24"/>
        </w:rPr>
      </w:pPr>
      <w:r w:rsidRPr="00851E3E">
        <w:rPr>
          <w:b/>
          <w:sz w:val="24"/>
          <w:szCs w:val="24"/>
        </w:rPr>
        <w:t>1.1.</w:t>
      </w:r>
      <w:r w:rsidRPr="00851E3E">
        <w:rPr>
          <w:sz w:val="24"/>
          <w:szCs w:val="24"/>
        </w:rPr>
        <w:t> Электрическая энергия (мощность) в соответствии с Договором поставляется Исполнителю по регулируемым ценам (тарифам).</w:t>
      </w:r>
    </w:p>
    <w:p w:rsidR="00E02F03" w:rsidRPr="004474FC" w:rsidRDefault="00E02F03" w:rsidP="003250CE">
      <w:pPr>
        <w:ind w:firstLine="720"/>
        <w:jc w:val="both"/>
        <w:rPr>
          <w:sz w:val="24"/>
          <w:szCs w:val="24"/>
        </w:rPr>
      </w:pPr>
      <w:r w:rsidRPr="004474FC">
        <w:rPr>
          <w:b/>
          <w:sz w:val="24"/>
          <w:szCs w:val="24"/>
        </w:rPr>
        <w:t>1.2.</w:t>
      </w:r>
      <w:r w:rsidRPr="004474FC">
        <w:rPr>
          <w:sz w:val="24"/>
          <w:szCs w:val="24"/>
        </w:rPr>
        <w:t> </w:t>
      </w:r>
      <w:r w:rsidRPr="004474FC">
        <w:rPr>
          <w:spacing w:val="-4"/>
          <w:sz w:val="24"/>
          <w:szCs w:val="24"/>
        </w:rPr>
        <w:t xml:space="preserve">Тарифы на электрическую энергию (мощность) устанавливаются органами, осуществляющими государственное регулирование тарифов, для тарифной группы «население», к которой относится Исполнитель. </w:t>
      </w:r>
    </w:p>
    <w:p w:rsidR="00E02F03" w:rsidRPr="004474FC" w:rsidRDefault="00E02F03" w:rsidP="003250CE">
      <w:pPr>
        <w:pStyle w:val="NormalWeb"/>
        <w:spacing w:before="0" w:after="0"/>
        <w:ind w:firstLine="720"/>
        <w:jc w:val="both"/>
      </w:pPr>
      <w:r w:rsidRPr="004474FC">
        <w:t>Т</w:t>
      </w:r>
      <w:r w:rsidRPr="004474FC">
        <w:rPr>
          <w:bCs/>
        </w:rPr>
        <w:t>арифы</w:t>
      </w:r>
      <w:r w:rsidRPr="004474FC">
        <w:t xml:space="preserve"> на электрическую энергию (мощность) применяются Сторонами с момента их утверждения и введения в действие указанными органами. Изменение </w:t>
      </w:r>
      <w:r w:rsidRPr="004474FC">
        <w:rPr>
          <w:bCs/>
        </w:rPr>
        <w:t>тарифов</w:t>
      </w:r>
      <w:r w:rsidRPr="004474FC">
        <w:t xml:space="preserve"> в период действия Договора не требует его переоформления.  </w:t>
      </w:r>
    </w:p>
    <w:p w:rsidR="00E02F03" w:rsidRPr="00851E3E" w:rsidRDefault="00E02F03" w:rsidP="003250CE">
      <w:pPr>
        <w:spacing w:before="120"/>
        <w:ind w:firstLine="720"/>
        <w:jc w:val="both"/>
        <w:rPr>
          <w:b/>
          <w:sz w:val="24"/>
          <w:szCs w:val="24"/>
        </w:rPr>
      </w:pPr>
      <w:r w:rsidRPr="004474FC">
        <w:rPr>
          <w:b/>
          <w:sz w:val="24"/>
          <w:szCs w:val="24"/>
        </w:rPr>
        <w:t>2. Порядок определения фактических объ</w:t>
      </w:r>
      <w:r>
        <w:rPr>
          <w:b/>
          <w:sz w:val="24"/>
          <w:szCs w:val="24"/>
        </w:rPr>
        <w:t>ё</w:t>
      </w:r>
      <w:r w:rsidRPr="00851E3E">
        <w:rPr>
          <w:b/>
          <w:sz w:val="24"/>
          <w:szCs w:val="24"/>
        </w:rPr>
        <w:t>мов электрической энергии (мощности).</w:t>
      </w:r>
    </w:p>
    <w:p w:rsidR="00E02F03" w:rsidRPr="000E0E41" w:rsidRDefault="00E02F03" w:rsidP="003250CE">
      <w:pPr>
        <w:ind w:firstLine="720"/>
        <w:jc w:val="both"/>
        <w:rPr>
          <w:color w:val="000000"/>
          <w:sz w:val="24"/>
          <w:szCs w:val="24"/>
        </w:rPr>
      </w:pPr>
      <w:r w:rsidRPr="004474FC">
        <w:rPr>
          <w:b/>
          <w:color w:val="000000"/>
          <w:sz w:val="24"/>
          <w:szCs w:val="24"/>
        </w:rPr>
        <w:t>2.1.</w:t>
      </w:r>
      <w:r w:rsidRPr="004474FC">
        <w:rPr>
          <w:color w:val="000000"/>
          <w:sz w:val="24"/>
          <w:szCs w:val="24"/>
        </w:rPr>
        <w:t> За исключением случаев, отдельно оговоренных настоящим Порядком, фактический объ</w:t>
      </w:r>
      <w:r>
        <w:rPr>
          <w:color w:val="000000"/>
          <w:sz w:val="24"/>
          <w:szCs w:val="24"/>
        </w:rPr>
        <w:t>ё</w:t>
      </w:r>
      <w:r w:rsidRPr="004474FC">
        <w:rPr>
          <w:color w:val="000000"/>
          <w:sz w:val="24"/>
          <w:szCs w:val="24"/>
        </w:rPr>
        <w:t>м электрической энергии (мощности), поставленной Исполнителю в расч</w:t>
      </w:r>
      <w:r>
        <w:rPr>
          <w:color w:val="000000"/>
          <w:sz w:val="24"/>
          <w:szCs w:val="24"/>
        </w:rPr>
        <w:t>ё</w:t>
      </w:r>
      <w:r w:rsidRPr="004474FC">
        <w:rPr>
          <w:color w:val="000000"/>
          <w:sz w:val="24"/>
          <w:szCs w:val="24"/>
        </w:rPr>
        <w:t>тном периоде, определяется на основании данных, полученных с использованием приборов уч</w:t>
      </w:r>
      <w:r>
        <w:rPr>
          <w:color w:val="000000"/>
          <w:sz w:val="24"/>
          <w:szCs w:val="24"/>
        </w:rPr>
        <w:t>ё</w:t>
      </w:r>
      <w:r w:rsidRPr="004474FC">
        <w:rPr>
          <w:color w:val="000000"/>
          <w:sz w:val="24"/>
          <w:szCs w:val="24"/>
        </w:rPr>
        <w:t>та</w:t>
      </w:r>
      <w:r>
        <w:rPr>
          <w:color w:val="000000"/>
          <w:sz w:val="24"/>
          <w:szCs w:val="24"/>
        </w:rPr>
        <w:t>,</w:t>
      </w:r>
      <w:r w:rsidRPr="004474FC">
        <w:rPr>
          <w:color w:val="000000"/>
          <w:sz w:val="24"/>
          <w:szCs w:val="24"/>
        </w:rPr>
        <w:t xml:space="preserve"> указанных в приложении № 3 к Договору.</w:t>
      </w:r>
    </w:p>
    <w:p w:rsidR="00E02F03" w:rsidRPr="000E0E41" w:rsidRDefault="00E02F03" w:rsidP="003250CE">
      <w:pPr>
        <w:ind w:firstLine="720"/>
        <w:jc w:val="both"/>
        <w:rPr>
          <w:color w:val="000000"/>
          <w:sz w:val="24"/>
          <w:szCs w:val="24"/>
        </w:rPr>
      </w:pPr>
      <w:r w:rsidRPr="00851E3E">
        <w:rPr>
          <w:color w:val="000000"/>
          <w:sz w:val="24"/>
          <w:szCs w:val="24"/>
        </w:rPr>
        <w:t>2.2. Фактический объ</w:t>
      </w:r>
      <w:r>
        <w:rPr>
          <w:color w:val="000000"/>
          <w:sz w:val="24"/>
          <w:szCs w:val="24"/>
        </w:rPr>
        <w:t>ё</w:t>
      </w:r>
      <w:r w:rsidRPr="00851E3E">
        <w:rPr>
          <w:color w:val="000000"/>
          <w:sz w:val="24"/>
          <w:szCs w:val="24"/>
        </w:rPr>
        <w:t>м электрической энергии (мощности), поставленной Исполнителю в расч</w:t>
      </w:r>
      <w:r>
        <w:rPr>
          <w:color w:val="000000"/>
          <w:sz w:val="24"/>
          <w:szCs w:val="24"/>
        </w:rPr>
        <w:t>ё</w:t>
      </w:r>
      <w:r w:rsidRPr="00851E3E">
        <w:rPr>
          <w:color w:val="000000"/>
          <w:sz w:val="24"/>
          <w:szCs w:val="24"/>
        </w:rPr>
        <w:t>тном периоде, определяется как разность объ</w:t>
      </w:r>
      <w:r>
        <w:rPr>
          <w:color w:val="000000"/>
          <w:sz w:val="24"/>
          <w:szCs w:val="24"/>
        </w:rPr>
        <w:t>ё</w:t>
      </w:r>
      <w:r w:rsidRPr="00851E3E">
        <w:rPr>
          <w:color w:val="000000"/>
          <w:sz w:val="24"/>
          <w:szCs w:val="24"/>
        </w:rPr>
        <w:t>ма электрической энергии (мощности), поставленной в расч</w:t>
      </w:r>
      <w:r>
        <w:rPr>
          <w:color w:val="000000"/>
          <w:sz w:val="24"/>
          <w:szCs w:val="24"/>
        </w:rPr>
        <w:t>ё</w:t>
      </w:r>
      <w:r w:rsidRPr="00851E3E">
        <w:rPr>
          <w:color w:val="000000"/>
          <w:sz w:val="24"/>
          <w:szCs w:val="24"/>
        </w:rPr>
        <w:t>тном периоде в многоквартирный дом, определенного на основании показаний кол</w:t>
      </w:r>
      <w:r w:rsidRPr="00795B4A">
        <w:rPr>
          <w:color w:val="000000"/>
          <w:sz w:val="24"/>
          <w:szCs w:val="24"/>
        </w:rPr>
        <w:t>лективного (общедомового) прибора уч</w:t>
      </w:r>
      <w:r>
        <w:rPr>
          <w:color w:val="000000"/>
          <w:sz w:val="24"/>
          <w:szCs w:val="24"/>
        </w:rPr>
        <w:t>ё</w:t>
      </w:r>
      <w:r w:rsidRPr="00795B4A">
        <w:rPr>
          <w:color w:val="000000"/>
          <w:sz w:val="24"/>
          <w:szCs w:val="24"/>
        </w:rPr>
        <w:t>та, и совокупного объ</w:t>
      </w:r>
      <w:r>
        <w:rPr>
          <w:color w:val="000000"/>
          <w:sz w:val="24"/>
          <w:szCs w:val="24"/>
        </w:rPr>
        <w:t>ё</w:t>
      </w:r>
      <w:r w:rsidRPr="00795B4A">
        <w:rPr>
          <w:color w:val="000000"/>
          <w:sz w:val="24"/>
          <w:szCs w:val="24"/>
        </w:rPr>
        <w:t>ма потребления электрической энергии (мощности) Потребителей, а также лиц, владеющих на законном основании нежилыми помещениями в многоквартирном доме и имеющих заключенные с Гаранти</w:t>
      </w:r>
      <w:r w:rsidRPr="004474FC">
        <w:rPr>
          <w:color w:val="000000"/>
          <w:sz w:val="24"/>
          <w:szCs w:val="24"/>
        </w:rPr>
        <w:t>рующим поставщиком договоры энергоснабжения в отношении соответствующих помещений (далее – транзитный объ</w:t>
      </w:r>
      <w:r>
        <w:rPr>
          <w:color w:val="000000"/>
          <w:sz w:val="24"/>
          <w:szCs w:val="24"/>
        </w:rPr>
        <w:t>ё</w:t>
      </w:r>
      <w:r w:rsidRPr="004474FC">
        <w:rPr>
          <w:color w:val="000000"/>
          <w:sz w:val="24"/>
          <w:szCs w:val="24"/>
        </w:rPr>
        <w:t>м),</w:t>
      </w:r>
      <w:r w:rsidRPr="000E0E41">
        <w:rPr>
          <w:color w:val="000000"/>
          <w:sz w:val="24"/>
          <w:szCs w:val="24"/>
        </w:rPr>
        <w:t xml:space="preserve"> если иное не оговорено Порядком.</w:t>
      </w:r>
    </w:p>
    <w:p w:rsidR="00E02F03" w:rsidRPr="000E0E41" w:rsidRDefault="00E02F03" w:rsidP="003250CE">
      <w:pPr>
        <w:jc w:val="both"/>
        <w:rPr>
          <w:color w:val="000000"/>
          <w:sz w:val="24"/>
          <w:szCs w:val="24"/>
        </w:rPr>
      </w:pPr>
      <w:r w:rsidRPr="000E0E41">
        <w:rPr>
          <w:color w:val="000000"/>
          <w:sz w:val="24"/>
          <w:szCs w:val="24"/>
        </w:rPr>
        <w:t>Из объ</w:t>
      </w:r>
      <w:r>
        <w:rPr>
          <w:color w:val="000000"/>
          <w:sz w:val="24"/>
          <w:szCs w:val="24"/>
        </w:rPr>
        <w:t>ё</w:t>
      </w:r>
      <w:r w:rsidRPr="000E0E41">
        <w:rPr>
          <w:color w:val="000000"/>
          <w:sz w:val="24"/>
          <w:szCs w:val="24"/>
        </w:rPr>
        <w:t xml:space="preserve">мов электрической энергии (мощности), определенных в соответствии </w:t>
      </w:r>
      <w:r>
        <w:rPr>
          <w:color w:val="000000"/>
          <w:sz w:val="24"/>
          <w:szCs w:val="24"/>
        </w:rPr>
        <w:t>с абзацем</w:t>
      </w:r>
      <w:r w:rsidRPr="004474FC">
        <w:rPr>
          <w:color w:val="000000"/>
          <w:sz w:val="24"/>
          <w:szCs w:val="24"/>
        </w:rPr>
        <w:t xml:space="preserve"> 1 п. 2.8 настоящего Порядка, транзитный объ</w:t>
      </w:r>
      <w:r>
        <w:rPr>
          <w:color w:val="000000"/>
          <w:sz w:val="24"/>
          <w:szCs w:val="24"/>
        </w:rPr>
        <w:t>ё</w:t>
      </w:r>
      <w:r w:rsidRPr="004474FC">
        <w:rPr>
          <w:color w:val="000000"/>
          <w:sz w:val="24"/>
          <w:szCs w:val="24"/>
        </w:rPr>
        <w:t>м не вычитается.</w:t>
      </w:r>
    </w:p>
    <w:p w:rsidR="00E02F03" w:rsidRPr="00795B4A" w:rsidRDefault="00E02F03" w:rsidP="003250CE">
      <w:pPr>
        <w:ind w:firstLine="720"/>
        <w:jc w:val="both"/>
        <w:rPr>
          <w:iCs/>
          <w:sz w:val="24"/>
          <w:szCs w:val="24"/>
        </w:rPr>
      </w:pPr>
      <w:r w:rsidRPr="00851E3E">
        <w:rPr>
          <w:b/>
          <w:color w:val="000000"/>
          <w:sz w:val="24"/>
          <w:szCs w:val="24"/>
        </w:rPr>
        <w:t>2.3.</w:t>
      </w:r>
      <w:r w:rsidRPr="00851E3E">
        <w:rPr>
          <w:color w:val="000000"/>
          <w:sz w:val="24"/>
          <w:szCs w:val="24"/>
        </w:rPr>
        <w:t>  Исполнитель обязан не позднее 28 (двадцать восьмого) числа текущего расч</w:t>
      </w:r>
      <w:r>
        <w:rPr>
          <w:color w:val="000000"/>
          <w:sz w:val="24"/>
          <w:szCs w:val="24"/>
        </w:rPr>
        <w:t>ё</w:t>
      </w:r>
      <w:r w:rsidRPr="00851E3E">
        <w:rPr>
          <w:color w:val="000000"/>
          <w:sz w:val="24"/>
          <w:szCs w:val="24"/>
        </w:rPr>
        <w:t>тного периода предоставить Гарантирующему поставщику надлежащим образом заполненный и подписанный уполномоченным представителем Акт снятия показаний приборов уч</w:t>
      </w:r>
      <w:r>
        <w:rPr>
          <w:color w:val="000000"/>
          <w:sz w:val="24"/>
          <w:szCs w:val="24"/>
        </w:rPr>
        <w:t>ё</w:t>
      </w:r>
      <w:r w:rsidRPr="00851E3E">
        <w:rPr>
          <w:color w:val="000000"/>
          <w:sz w:val="24"/>
          <w:szCs w:val="24"/>
        </w:rPr>
        <w:t>та</w:t>
      </w:r>
      <w:r>
        <w:rPr>
          <w:color w:val="000000"/>
          <w:sz w:val="24"/>
          <w:szCs w:val="24"/>
        </w:rPr>
        <w:t xml:space="preserve"> по форме</w:t>
      </w:r>
      <w:r w:rsidRPr="00795B4A">
        <w:rPr>
          <w:color w:val="000000"/>
          <w:sz w:val="24"/>
          <w:szCs w:val="24"/>
        </w:rPr>
        <w:t xml:space="preserve"> Приложени</w:t>
      </w:r>
      <w:r>
        <w:rPr>
          <w:color w:val="000000"/>
          <w:sz w:val="24"/>
          <w:szCs w:val="24"/>
        </w:rPr>
        <w:t>я</w:t>
      </w:r>
      <w:r w:rsidRPr="00795B4A">
        <w:rPr>
          <w:color w:val="000000"/>
          <w:sz w:val="24"/>
          <w:szCs w:val="24"/>
        </w:rPr>
        <w:t xml:space="preserve"> № 5 «Акт снятия показаний» к Договору. </w:t>
      </w:r>
    </w:p>
    <w:p w:rsidR="00E02F03" w:rsidRPr="00795B4A" w:rsidRDefault="00E02F03" w:rsidP="003250CE">
      <w:pPr>
        <w:pStyle w:val="1"/>
        <w:numPr>
          <w:ilvl w:val="0"/>
          <w:numId w:val="0"/>
        </w:numPr>
        <w:tabs>
          <w:tab w:val="num" w:pos="1100"/>
        </w:tabs>
        <w:ind w:firstLine="709"/>
        <w:rPr>
          <w:sz w:val="24"/>
        </w:rPr>
      </w:pPr>
      <w:r w:rsidRPr="004474FC">
        <w:rPr>
          <w:b/>
          <w:sz w:val="24"/>
        </w:rPr>
        <w:t xml:space="preserve">2.4. </w:t>
      </w:r>
      <w:r w:rsidRPr="004474FC">
        <w:rPr>
          <w:sz w:val="24"/>
        </w:rPr>
        <w:t xml:space="preserve">При </w:t>
      </w:r>
      <w:r>
        <w:rPr>
          <w:sz w:val="24"/>
        </w:rPr>
        <w:t>отсутствии у</w:t>
      </w:r>
      <w:r w:rsidRPr="004474FC">
        <w:rPr>
          <w:sz w:val="24"/>
        </w:rPr>
        <w:t xml:space="preserve"> Гарантирующе</w:t>
      </w:r>
      <w:r>
        <w:rPr>
          <w:sz w:val="24"/>
        </w:rPr>
        <w:t>го</w:t>
      </w:r>
      <w:r w:rsidRPr="004474FC">
        <w:rPr>
          <w:sz w:val="24"/>
        </w:rPr>
        <w:t xml:space="preserve"> поставщик</w:t>
      </w:r>
      <w:r>
        <w:rPr>
          <w:sz w:val="24"/>
        </w:rPr>
        <w:t>а</w:t>
      </w:r>
      <w:r w:rsidRPr="004474FC">
        <w:rPr>
          <w:sz w:val="24"/>
        </w:rPr>
        <w:t xml:space="preserve"> показаний приборов уч</w:t>
      </w:r>
      <w:r>
        <w:rPr>
          <w:sz w:val="24"/>
        </w:rPr>
        <w:t>ё</w:t>
      </w:r>
      <w:r w:rsidRPr="00795B4A">
        <w:rPr>
          <w:sz w:val="24"/>
        </w:rPr>
        <w:t>та в соответствии с п. 2.3. Порядка</w:t>
      </w:r>
      <w:r>
        <w:rPr>
          <w:sz w:val="24"/>
        </w:rPr>
        <w:t>,</w:t>
      </w:r>
      <w:r w:rsidRPr="00795B4A">
        <w:rPr>
          <w:sz w:val="24"/>
        </w:rPr>
        <w:t xml:space="preserve"> объём электрической энергии (мощности), поставленной Исполнителю в расчётном периоде, определяется следующим образом:</w:t>
      </w:r>
    </w:p>
    <w:p w:rsidR="00E02F03" w:rsidRPr="004474FC" w:rsidRDefault="00E02F03" w:rsidP="003250CE">
      <w:pPr>
        <w:pStyle w:val="1"/>
        <w:numPr>
          <w:ilvl w:val="0"/>
          <w:numId w:val="0"/>
        </w:numPr>
        <w:tabs>
          <w:tab w:val="left" w:pos="851"/>
        </w:tabs>
        <w:ind w:firstLine="709"/>
        <w:rPr>
          <w:rStyle w:val="PageNumber"/>
          <w:sz w:val="24"/>
        </w:rPr>
      </w:pPr>
      <w:r w:rsidRPr="004474FC">
        <w:rPr>
          <w:b/>
          <w:sz w:val="24"/>
        </w:rPr>
        <w:t>а)</w:t>
      </w:r>
      <w:r w:rsidRPr="004474FC">
        <w:rPr>
          <w:sz w:val="24"/>
        </w:rPr>
        <w:t> для первого и второго расчётных периодов подряд, за которые не предоставлены показания расчётного прибора учёта, объём электрической энергии (мощности) определяется исходя из показаний прибора учё</w:t>
      </w:r>
      <w:r w:rsidRPr="004474FC">
        <w:rPr>
          <w:rStyle w:val="PageNumber"/>
          <w:sz w:val="24"/>
        </w:rPr>
        <w:t>та за аналогичный период предыд</w:t>
      </w:r>
      <w:r w:rsidRPr="004474FC">
        <w:rPr>
          <w:sz w:val="24"/>
        </w:rPr>
        <w:t xml:space="preserve">ущего года, </w:t>
      </w:r>
      <w:r w:rsidRPr="004474FC">
        <w:rPr>
          <w:rStyle w:val="PageNumber"/>
          <w:sz w:val="24"/>
        </w:rPr>
        <w:t>а при отсутствии данных за аналогичный период предыдущего года - на основании показаний прибора учёта за ближайший период, когда такие данные были предоставлены Гарантирующему поставщику;</w:t>
      </w:r>
    </w:p>
    <w:p w:rsidR="00E02F03" w:rsidRPr="004474FC" w:rsidRDefault="00E02F03" w:rsidP="003250CE">
      <w:pPr>
        <w:tabs>
          <w:tab w:val="left" w:pos="851"/>
        </w:tabs>
        <w:ind w:firstLine="709"/>
        <w:jc w:val="both"/>
        <w:rPr>
          <w:b/>
          <w:sz w:val="24"/>
          <w:szCs w:val="24"/>
        </w:rPr>
      </w:pPr>
      <w:r w:rsidRPr="004474FC">
        <w:rPr>
          <w:rStyle w:val="PageNumber"/>
          <w:b/>
          <w:sz w:val="24"/>
          <w:szCs w:val="24"/>
        </w:rPr>
        <w:t>б)</w:t>
      </w:r>
      <w:r w:rsidRPr="004474FC">
        <w:rPr>
          <w:rStyle w:val="PageNumber"/>
          <w:sz w:val="24"/>
          <w:szCs w:val="24"/>
        </w:rPr>
        <w:t xml:space="preserve"> для третьего и последующих расчётных периодов подряд объём поставленной электрической энергии (мощности) в точке поставки определяется как произведение максимальной мощности в соответствующей точке поставки, к которой относится прибор учёта, на количество часов в расчётном периоде, за которые производится определение объёма электрической энергии данным расчётным способом. </w:t>
      </w:r>
      <w:r w:rsidRPr="004474FC">
        <w:rPr>
          <w:rStyle w:val="PageNumber"/>
          <w:sz w:val="24"/>
          <w:szCs w:val="24"/>
          <w:shd w:val="clear" w:color="auto" w:fill="FFFFFF"/>
        </w:rPr>
        <w:t>Если максимальная мощность определена без распределения по точкам поставки, то максимальная мощность в границах балансовой принадлежности Исполнителя распределяется по точкам поставки</w:t>
      </w:r>
      <w:r>
        <w:rPr>
          <w:rStyle w:val="PageNumber"/>
          <w:sz w:val="24"/>
          <w:szCs w:val="24"/>
          <w:shd w:val="clear" w:color="auto" w:fill="FFFFFF"/>
        </w:rPr>
        <w:t>,</w:t>
      </w:r>
      <w:r w:rsidRPr="004474FC">
        <w:rPr>
          <w:rStyle w:val="PageNumber"/>
          <w:sz w:val="24"/>
          <w:szCs w:val="24"/>
          <w:shd w:val="clear" w:color="auto" w:fill="FFFFFF"/>
        </w:rPr>
        <w:t xml:space="preserve"> пропорционально величине допустимой длительной токовой нагрузки соответствующего вводного кабеля (провода).</w:t>
      </w:r>
      <w:r w:rsidRPr="000E0E41">
        <w:rPr>
          <w:rStyle w:val="PageNumber"/>
          <w:sz w:val="24"/>
          <w:szCs w:val="24"/>
          <w:shd w:val="clear" w:color="auto" w:fill="FFFFFF"/>
        </w:rPr>
        <w:t xml:space="preserve"> </w:t>
      </w:r>
      <w:r w:rsidRPr="00851E3E">
        <w:rPr>
          <w:rStyle w:val="PageNumber"/>
          <w:sz w:val="24"/>
          <w:szCs w:val="24"/>
        </w:rPr>
        <w:t xml:space="preserve">При отсутствии в договоре сведений о максимальной мощности, объём электрической энергии (мощности), потреблённой Исполнителем в соответствующей </w:t>
      </w:r>
      <w:r w:rsidRPr="00795B4A">
        <w:rPr>
          <w:rStyle w:val="PageNumber"/>
          <w:sz w:val="24"/>
          <w:szCs w:val="24"/>
        </w:rPr>
        <w:t>точке поставки за расчётный период, определяется в соответствии с законодательством исходя из допустимой длительной токовой нагрузки вводного кабеля (провода).</w:t>
      </w:r>
    </w:p>
    <w:p w:rsidR="00E02F03" w:rsidRPr="004474FC" w:rsidRDefault="00E02F03" w:rsidP="003250CE">
      <w:pPr>
        <w:pStyle w:val="BodyTextIndent"/>
        <w:spacing w:after="0"/>
        <w:ind w:left="0" w:firstLine="720"/>
        <w:jc w:val="both"/>
        <w:rPr>
          <w:sz w:val="24"/>
          <w:szCs w:val="24"/>
        </w:rPr>
      </w:pPr>
      <w:r w:rsidRPr="004474FC">
        <w:rPr>
          <w:b/>
          <w:sz w:val="24"/>
          <w:szCs w:val="24"/>
        </w:rPr>
        <w:t xml:space="preserve">2.5. </w:t>
      </w:r>
      <w:r>
        <w:rPr>
          <w:sz w:val="24"/>
          <w:szCs w:val="24"/>
        </w:rPr>
        <w:t>В случае выхода из строя (</w:t>
      </w:r>
      <w:r w:rsidRPr="004474FC">
        <w:rPr>
          <w:sz w:val="24"/>
          <w:szCs w:val="24"/>
        </w:rPr>
        <w:t>утраты</w:t>
      </w:r>
      <w:r>
        <w:rPr>
          <w:sz w:val="24"/>
          <w:szCs w:val="24"/>
        </w:rPr>
        <w:t>)</w:t>
      </w:r>
      <w:r w:rsidRPr="004474FC">
        <w:rPr>
          <w:sz w:val="24"/>
          <w:szCs w:val="24"/>
        </w:rPr>
        <w:t xml:space="preserve"> ранее введенного в эксплуатацию коллективного (общедомового) прибора уч</w:t>
      </w:r>
      <w:r>
        <w:rPr>
          <w:sz w:val="24"/>
          <w:szCs w:val="24"/>
        </w:rPr>
        <w:t>ё</w:t>
      </w:r>
      <w:r w:rsidRPr="004474FC">
        <w:rPr>
          <w:sz w:val="24"/>
          <w:szCs w:val="24"/>
        </w:rPr>
        <w:t>та, истечения срока его эксплуатации, а также демонтажа в связи с поверкой, ремонтом или заменой (при отсутствии контрольного прибора уч</w:t>
      </w:r>
      <w:r>
        <w:rPr>
          <w:sz w:val="24"/>
          <w:szCs w:val="24"/>
        </w:rPr>
        <w:t>ё</w:t>
      </w:r>
      <w:r w:rsidRPr="00795B4A">
        <w:rPr>
          <w:sz w:val="24"/>
          <w:szCs w:val="24"/>
        </w:rPr>
        <w:t>та), объ</w:t>
      </w:r>
      <w:r>
        <w:rPr>
          <w:sz w:val="24"/>
          <w:szCs w:val="24"/>
        </w:rPr>
        <w:t>ё</w:t>
      </w:r>
      <w:r w:rsidRPr="004474FC">
        <w:rPr>
          <w:sz w:val="24"/>
          <w:szCs w:val="24"/>
        </w:rPr>
        <w:t xml:space="preserve">м электрической энергии (мощности), поставленной </w:t>
      </w:r>
      <w:r>
        <w:rPr>
          <w:sz w:val="24"/>
          <w:szCs w:val="24"/>
        </w:rPr>
        <w:t xml:space="preserve">Исполнителю </w:t>
      </w:r>
      <w:r w:rsidRPr="004474FC">
        <w:rPr>
          <w:sz w:val="24"/>
          <w:szCs w:val="24"/>
        </w:rPr>
        <w:t xml:space="preserve"> в расч</w:t>
      </w:r>
      <w:r>
        <w:rPr>
          <w:sz w:val="24"/>
          <w:szCs w:val="24"/>
        </w:rPr>
        <w:t>ё</w:t>
      </w:r>
      <w:r w:rsidRPr="004474FC">
        <w:rPr>
          <w:sz w:val="24"/>
          <w:szCs w:val="24"/>
        </w:rPr>
        <w:t>тном периоде, определяется в соответствии с действующим законодательством</w:t>
      </w:r>
      <w:r>
        <w:rPr>
          <w:sz w:val="24"/>
          <w:szCs w:val="24"/>
        </w:rPr>
        <w:t>,</w:t>
      </w:r>
      <w:r w:rsidRPr="00795B4A">
        <w:rPr>
          <w:sz w:val="24"/>
          <w:szCs w:val="24"/>
        </w:rPr>
        <w:t xml:space="preserve"> исходя из имеющейся у Гарантирующего поставщика информации об объ</w:t>
      </w:r>
      <w:r>
        <w:rPr>
          <w:sz w:val="24"/>
          <w:szCs w:val="24"/>
        </w:rPr>
        <w:t>ё</w:t>
      </w:r>
      <w:r w:rsidRPr="004474FC">
        <w:rPr>
          <w:sz w:val="24"/>
          <w:szCs w:val="24"/>
        </w:rPr>
        <w:t xml:space="preserve">мах поставки электрической энергии (мощности) </w:t>
      </w:r>
      <w:r>
        <w:rPr>
          <w:sz w:val="24"/>
          <w:szCs w:val="24"/>
        </w:rPr>
        <w:t>на</w:t>
      </w:r>
      <w:r w:rsidRPr="004474FC">
        <w:rPr>
          <w:sz w:val="24"/>
          <w:szCs w:val="24"/>
        </w:rPr>
        <w:t xml:space="preserve"> многоквартирный дом, определенных на основании показаний индивидуальных приборов уч</w:t>
      </w:r>
      <w:r>
        <w:rPr>
          <w:sz w:val="24"/>
          <w:szCs w:val="24"/>
        </w:rPr>
        <w:t>ё</w:t>
      </w:r>
      <w:r w:rsidRPr="004474FC">
        <w:rPr>
          <w:sz w:val="24"/>
          <w:szCs w:val="24"/>
        </w:rPr>
        <w:t>та в период его эксплуатации и нормативов потребления электрической энергии на общедомовые нужды, с учетом потерь электрической энергии во внутридомовых сетях.  Предусмотренный настоящим пунктом порядок применяется вплоть до даты допуска в эксплуатацию коллективного (общедомового) прибора уч</w:t>
      </w:r>
      <w:r>
        <w:rPr>
          <w:sz w:val="24"/>
          <w:szCs w:val="24"/>
        </w:rPr>
        <w:t>ё</w:t>
      </w:r>
      <w:r w:rsidRPr="004474FC">
        <w:rPr>
          <w:sz w:val="24"/>
          <w:szCs w:val="24"/>
        </w:rPr>
        <w:t>та, обеспечивающего измерение объ</w:t>
      </w:r>
      <w:r>
        <w:rPr>
          <w:sz w:val="24"/>
          <w:szCs w:val="24"/>
        </w:rPr>
        <w:t>ё</w:t>
      </w:r>
      <w:r w:rsidRPr="004474FC">
        <w:rPr>
          <w:sz w:val="24"/>
          <w:szCs w:val="24"/>
        </w:rPr>
        <w:t>мов электрической энергии (мощности) в соответствующей точке поставки.</w:t>
      </w:r>
    </w:p>
    <w:p w:rsidR="00E02F03" w:rsidRPr="004474FC" w:rsidRDefault="00E02F03" w:rsidP="003250CE">
      <w:pPr>
        <w:pStyle w:val="BodyTextIndent"/>
        <w:spacing w:after="0"/>
        <w:ind w:left="0" w:firstLine="720"/>
        <w:jc w:val="both"/>
        <w:rPr>
          <w:sz w:val="24"/>
          <w:szCs w:val="24"/>
        </w:rPr>
      </w:pPr>
      <w:r w:rsidRPr="004474FC">
        <w:rPr>
          <w:sz w:val="24"/>
          <w:szCs w:val="24"/>
        </w:rPr>
        <w:t>Для проведения указанных расч</w:t>
      </w:r>
      <w:r>
        <w:rPr>
          <w:sz w:val="24"/>
          <w:szCs w:val="24"/>
        </w:rPr>
        <w:t>ё</w:t>
      </w:r>
      <w:r w:rsidRPr="004474FC">
        <w:rPr>
          <w:sz w:val="24"/>
          <w:szCs w:val="24"/>
        </w:rPr>
        <w:t>тов Исполнитель обязуется предоставлять Гарантирующему поставщику информацию об объ</w:t>
      </w:r>
      <w:r>
        <w:rPr>
          <w:sz w:val="24"/>
          <w:szCs w:val="24"/>
        </w:rPr>
        <w:t>ё</w:t>
      </w:r>
      <w:r w:rsidRPr="004474FC">
        <w:rPr>
          <w:sz w:val="24"/>
          <w:szCs w:val="24"/>
        </w:rPr>
        <w:t>мах потребления электрической энергии (мощности) за расч</w:t>
      </w:r>
      <w:r>
        <w:rPr>
          <w:sz w:val="24"/>
          <w:szCs w:val="24"/>
        </w:rPr>
        <w:t>ё</w:t>
      </w:r>
      <w:r w:rsidRPr="004474FC">
        <w:rPr>
          <w:sz w:val="24"/>
          <w:szCs w:val="24"/>
        </w:rPr>
        <w:t>тный период в жилых и нежилых помещениях многоквартирного дома, определенных как по показаниям индивидуальных приборов уч</w:t>
      </w:r>
      <w:r>
        <w:rPr>
          <w:sz w:val="24"/>
          <w:szCs w:val="24"/>
        </w:rPr>
        <w:t>ё</w:t>
      </w:r>
      <w:r w:rsidRPr="004474FC">
        <w:rPr>
          <w:sz w:val="24"/>
          <w:szCs w:val="24"/>
        </w:rPr>
        <w:t>та, так и расч</w:t>
      </w:r>
      <w:r>
        <w:rPr>
          <w:sz w:val="24"/>
          <w:szCs w:val="24"/>
        </w:rPr>
        <w:t>ё</w:t>
      </w:r>
      <w:r w:rsidRPr="004474FC">
        <w:rPr>
          <w:sz w:val="24"/>
          <w:szCs w:val="24"/>
        </w:rPr>
        <w:t>тным способом.</w:t>
      </w:r>
    </w:p>
    <w:p w:rsidR="00E02F03" w:rsidRPr="004474FC" w:rsidRDefault="00E02F03" w:rsidP="003250CE">
      <w:pPr>
        <w:pStyle w:val="BodyTextIndent"/>
        <w:spacing w:after="0"/>
        <w:ind w:left="0" w:firstLine="720"/>
        <w:jc w:val="both"/>
        <w:rPr>
          <w:sz w:val="24"/>
          <w:szCs w:val="24"/>
        </w:rPr>
      </w:pPr>
      <w:r w:rsidRPr="004474FC">
        <w:rPr>
          <w:b/>
          <w:sz w:val="24"/>
          <w:szCs w:val="24"/>
        </w:rPr>
        <w:t>2.6.</w:t>
      </w:r>
      <w:r w:rsidRPr="004474FC">
        <w:rPr>
          <w:sz w:val="24"/>
          <w:szCs w:val="24"/>
        </w:rPr>
        <w:t> </w:t>
      </w:r>
      <w:r w:rsidRPr="004474FC">
        <w:rPr>
          <w:b/>
          <w:sz w:val="24"/>
          <w:szCs w:val="24"/>
        </w:rPr>
        <w:t xml:space="preserve"> </w:t>
      </w:r>
      <w:r w:rsidRPr="004474FC">
        <w:rPr>
          <w:sz w:val="24"/>
          <w:szCs w:val="24"/>
        </w:rPr>
        <w:t xml:space="preserve">В случае двукратного недопуска Исполнителем представителей Гарантирующего поставщика и (или) Сетевой организации к коллективному (общедомовому) прибору учёта, объём электрической энергии (мощности), поставленной Исполнителю, определяется в порядке, предусмотренном пп. б) п. 2.4.  настоящего Порядка. </w:t>
      </w:r>
    </w:p>
    <w:p w:rsidR="00E02F03" w:rsidRPr="004474FC" w:rsidRDefault="00E02F03" w:rsidP="003250CE">
      <w:pPr>
        <w:pStyle w:val="BodyTextIndent"/>
        <w:spacing w:after="0"/>
        <w:ind w:left="0" w:firstLine="720"/>
        <w:jc w:val="both"/>
        <w:rPr>
          <w:sz w:val="24"/>
          <w:szCs w:val="24"/>
        </w:rPr>
      </w:pPr>
      <w:r w:rsidRPr="004474FC">
        <w:rPr>
          <w:sz w:val="24"/>
          <w:szCs w:val="24"/>
        </w:rPr>
        <w:t>Порядок определения объёма электрической энергии (мощности), предусмотренный настоящим пунктом, применяется за период, начиная с даты, когда произошёл факт двукратного недопуска, вплоть до даты допуска к такому прибору учёта.</w:t>
      </w:r>
    </w:p>
    <w:p w:rsidR="00E02F03" w:rsidRPr="004474FC" w:rsidRDefault="00E02F03" w:rsidP="003250CE">
      <w:pPr>
        <w:pStyle w:val="BodyTextIndent"/>
        <w:spacing w:after="0"/>
        <w:ind w:left="0" w:firstLine="720"/>
        <w:jc w:val="both"/>
        <w:rPr>
          <w:sz w:val="24"/>
          <w:szCs w:val="24"/>
        </w:rPr>
      </w:pPr>
      <w:r w:rsidRPr="004474FC">
        <w:rPr>
          <w:b/>
          <w:sz w:val="24"/>
          <w:szCs w:val="24"/>
        </w:rPr>
        <w:t>2.7.</w:t>
      </w:r>
      <w:r w:rsidRPr="004474FC">
        <w:rPr>
          <w:sz w:val="24"/>
          <w:szCs w:val="24"/>
        </w:rPr>
        <w:t xml:space="preserve"> При определении объ</w:t>
      </w:r>
      <w:r>
        <w:rPr>
          <w:sz w:val="24"/>
          <w:szCs w:val="24"/>
        </w:rPr>
        <w:t>ё</w:t>
      </w:r>
      <w:r w:rsidRPr="004474FC">
        <w:rPr>
          <w:sz w:val="24"/>
          <w:szCs w:val="24"/>
        </w:rPr>
        <w:t>ма электрической энергии (мощности) не на основании показаний приборов уч</w:t>
      </w:r>
      <w:r>
        <w:rPr>
          <w:sz w:val="24"/>
          <w:szCs w:val="24"/>
        </w:rPr>
        <w:t>ё</w:t>
      </w:r>
      <w:r w:rsidRPr="004474FC">
        <w:rPr>
          <w:sz w:val="24"/>
          <w:szCs w:val="24"/>
        </w:rPr>
        <w:t>та, последующий перерасч</w:t>
      </w:r>
      <w:r>
        <w:rPr>
          <w:sz w:val="24"/>
          <w:szCs w:val="24"/>
        </w:rPr>
        <w:t>ё</w:t>
      </w:r>
      <w:r w:rsidRPr="004474FC">
        <w:rPr>
          <w:sz w:val="24"/>
          <w:szCs w:val="24"/>
        </w:rPr>
        <w:t>т не производится.</w:t>
      </w:r>
    </w:p>
    <w:p w:rsidR="00E02F03" w:rsidRPr="004474FC" w:rsidRDefault="00E02F03" w:rsidP="003250CE">
      <w:pPr>
        <w:pStyle w:val="1"/>
        <w:numPr>
          <w:ilvl w:val="0"/>
          <w:numId w:val="0"/>
        </w:numPr>
        <w:ind w:firstLine="709"/>
        <w:rPr>
          <w:sz w:val="24"/>
        </w:rPr>
      </w:pPr>
      <w:r w:rsidRPr="004474FC">
        <w:rPr>
          <w:b/>
          <w:sz w:val="24"/>
        </w:rPr>
        <w:t>2.8.</w:t>
      </w:r>
      <w:r w:rsidRPr="004474FC">
        <w:rPr>
          <w:sz w:val="24"/>
        </w:rPr>
        <w:t>  При выявлении случаев присоединения дополнительных энергопринимающих устройств, не указанных в Договоре, с нарушением установленной Договором схемы уч</w:t>
      </w:r>
      <w:r>
        <w:rPr>
          <w:sz w:val="24"/>
        </w:rPr>
        <w:t>ё</w:t>
      </w:r>
      <w:r w:rsidRPr="004474FC">
        <w:rPr>
          <w:sz w:val="24"/>
        </w:rPr>
        <w:t>та</w:t>
      </w:r>
      <w:r>
        <w:rPr>
          <w:sz w:val="24"/>
        </w:rPr>
        <w:t>,</w:t>
      </w:r>
      <w:r w:rsidRPr="00795B4A">
        <w:rPr>
          <w:sz w:val="24"/>
        </w:rPr>
        <w:t xml:space="preserve"> объ</w:t>
      </w:r>
      <w:r>
        <w:rPr>
          <w:sz w:val="24"/>
        </w:rPr>
        <w:t>ё</w:t>
      </w:r>
      <w:r w:rsidRPr="004474FC">
        <w:rPr>
          <w:sz w:val="24"/>
        </w:rPr>
        <w:t>м электрической энергии (мощности), потребленной такими энергопринимающими устройствами, а также в иных случаях безуч</w:t>
      </w:r>
      <w:r>
        <w:rPr>
          <w:sz w:val="24"/>
        </w:rPr>
        <w:t>ё</w:t>
      </w:r>
      <w:r w:rsidRPr="004474FC">
        <w:rPr>
          <w:sz w:val="24"/>
        </w:rPr>
        <w:t>тного потребления, объём электрической энергии (мощности), потреблённой энергопринимающими устройствами Исполнителя, в отношении которых выявлен данный факт, определяется в порядке, предусмотренном пп. б) п. 2.4  настоящего Порядка.</w:t>
      </w:r>
    </w:p>
    <w:p w:rsidR="00E02F03" w:rsidRPr="004474FC" w:rsidRDefault="00E02F03" w:rsidP="003250CE">
      <w:pPr>
        <w:pStyle w:val="1"/>
        <w:numPr>
          <w:ilvl w:val="0"/>
          <w:numId w:val="0"/>
        </w:numPr>
        <w:tabs>
          <w:tab w:val="num" w:pos="1300"/>
        </w:tabs>
        <w:ind w:firstLine="709"/>
        <w:rPr>
          <w:sz w:val="24"/>
        </w:rPr>
      </w:pPr>
      <w:r w:rsidRPr="004474FC">
        <w:rPr>
          <w:sz w:val="24"/>
        </w:rPr>
        <w:t xml:space="preserve">Предусмотренные настоящим пунктом нарушения фиксируются в Акте о неучтённом потреблении электрической энергии, составленном по форме, установленной Гарантирующим поставщиком или Сетевой организацией. Указанный Акт является основанием для проведения расчётов. </w:t>
      </w:r>
    </w:p>
    <w:p w:rsidR="00E02F03" w:rsidRPr="004474FC" w:rsidRDefault="00E02F03" w:rsidP="003250CE">
      <w:pPr>
        <w:pStyle w:val="1"/>
        <w:numPr>
          <w:ilvl w:val="0"/>
          <w:numId w:val="0"/>
        </w:numPr>
        <w:tabs>
          <w:tab w:val="num" w:pos="1300"/>
        </w:tabs>
        <w:ind w:firstLine="709"/>
        <w:rPr>
          <w:sz w:val="24"/>
        </w:rPr>
      </w:pPr>
      <w:r w:rsidRPr="004474FC">
        <w:rPr>
          <w:sz w:val="24"/>
        </w:rPr>
        <w:t>Объём безучётного потребления определяется за период, начиная с даты предыдущей контрольной проверки прибора уч</w:t>
      </w:r>
      <w:r>
        <w:rPr>
          <w:sz w:val="24"/>
        </w:rPr>
        <w:t>ё</w:t>
      </w:r>
      <w:r w:rsidRPr="004474FC">
        <w:rPr>
          <w:sz w:val="24"/>
        </w:rPr>
        <w:t xml:space="preserve">та, а если такая проверка не была проведена – с даты, когда она должна была быть проведена в соответствии с настоящим Договором, до даты выявления безучётного потребления, но не более </w:t>
      </w:r>
      <w:r w:rsidRPr="00851E3E">
        <w:rPr>
          <w:sz w:val="24"/>
        </w:rPr>
        <w:t>6 месяцев</w:t>
      </w:r>
      <w:r w:rsidRPr="004474FC">
        <w:rPr>
          <w:sz w:val="24"/>
        </w:rPr>
        <w:t>, установленных законодательством</w:t>
      </w:r>
      <w:r w:rsidRPr="00851E3E">
        <w:rPr>
          <w:sz w:val="24"/>
        </w:rPr>
        <w:t>, с по</w:t>
      </w:r>
      <w:r w:rsidRPr="00795B4A">
        <w:rPr>
          <w:sz w:val="24"/>
        </w:rPr>
        <w:t>следующим составлением Акт</w:t>
      </w:r>
      <w:r w:rsidRPr="004474FC">
        <w:rPr>
          <w:sz w:val="24"/>
        </w:rPr>
        <w:t>а о неучтённом потреблении электрической энергии.</w:t>
      </w:r>
    </w:p>
    <w:p w:rsidR="00E02F03" w:rsidRPr="004474FC" w:rsidRDefault="00E02F03" w:rsidP="003250CE">
      <w:pPr>
        <w:pStyle w:val="1"/>
        <w:numPr>
          <w:ilvl w:val="0"/>
          <w:numId w:val="0"/>
        </w:numPr>
        <w:tabs>
          <w:tab w:val="num" w:pos="1300"/>
        </w:tabs>
        <w:ind w:firstLine="709"/>
        <w:rPr>
          <w:sz w:val="24"/>
        </w:rPr>
      </w:pPr>
      <w:r w:rsidRPr="004474FC">
        <w:rPr>
          <w:sz w:val="24"/>
        </w:rPr>
        <w:t>Объём безучётного потребления включается в объём электрической энергии (мощности), потребленной Исполнителем в расч</w:t>
      </w:r>
      <w:r>
        <w:rPr>
          <w:sz w:val="24"/>
        </w:rPr>
        <w:t>ё</w:t>
      </w:r>
      <w:r w:rsidRPr="004474FC">
        <w:rPr>
          <w:sz w:val="24"/>
        </w:rPr>
        <w:t>тном периоде, в котором было выявлено указанное безуч</w:t>
      </w:r>
      <w:r>
        <w:rPr>
          <w:sz w:val="24"/>
        </w:rPr>
        <w:t>ё</w:t>
      </w:r>
      <w:r w:rsidRPr="004474FC">
        <w:rPr>
          <w:sz w:val="24"/>
        </w:rPr>
        <w:t>тное потребление.</w:t>
      </w:r>
    </w:p>
    <w:p w:rsidR="00E02F03" w:rsidRPr="004474FC" w:rsidRDefault="00E02F03" w:rsidP="003250CE">
      <w:pPr>
        <w:spacing w:line="223" w:lineRule="auto"/>
        <w:ind w:firstLine="567"/>
        <w:jc w:val="both"/>
        <w:rPr>
          <w:sz w:val="24"/>
          <w:szCs w:val="24"/>
        </w:rPr>
      </w:pPr>
      <w:r w:rsidRPr="004474FC">
        <w:rPr>
          <w:b/>
          <w:sz w:val="24"/>
          <w:szCs w:val="24"/>
        </w:rPr>
        <w:t>2.9.</w:t>
      </w:r>
      <w:r w:rsidRPr="004474FC">
        <w:rPr>
          <w:sz w:val="24"/>
          <w:szCs w:val="24"/>
        </w:rPr>
        <w:t xml:space="preserve"> При установке коллективных (общедомовых) приборов учёта не на границе балансовой принадлежности объектов электросетевого хозяйства Исполнителя фактический объём электрической энергии (мощности), учтённый данными приборами учёта, корректируется на величину потерь электрической энергии (мощности) в электрических сетях от границы балансовой принадлежности до места установки приборов учёта. </w:t>
      </w:r>
    </w:p>
    <w:p w:rsidR="00E02F03" w:rsidRPr="004474FC" w:rsidRDefault="00E02F03" w:rsidP="003250CE">
      <w:pPr>
        <w:ind w:firstLine="567"/>
        <w:jc w:val="both"/>
        <w:rPr>
          <w:sz w:val="24"/>
          <w:szCs w:val="24"/>
        </w:rPr>
      </w:pPr>
      <w:r w:rsidRPr="004474FC">
        <w:rPr>
          <w:b/>
          <w:sz w:val="24"/>
          <w:szCs w:val="24"/>
        </w:rPr>
        <w:t>2.10.</w:t>
      </w:r>
      <w:r w:rsidRPr="004474FC">
        <w:rPr>
          <w:color w:val="000000"/>
          <w:sz w:val="24"/>
          <w:szCs w:val="24"/>
        </w:rPr>
        <w:t> </w:t>
      </w:r>
      <w:r w:rsidRPr="004474FC">
        <w:rPr>
          <w:sz w:val="24"/>
          <w:szCs w:val="24"/>
        </w:rPr>
        <w:t>При определении фактического объ</w:t>
      </w:r>
      <w:r>
        <w:rPr>
          <w:sz w:val="24"/>
          <w:szCs w:val="24"/>
        </w:rPr>
        <w:t>ё</w:t>
      </w:r>
      <w:r w:rsidRPr="004474FC">
        <w:rPr>
          <w:sz w:val="24"/>
          <w:szCs w:val="24"/>
        </w:rPr>
        <w:t>ма электрической энергии (мощности), поставленной Исполнителем в расч</w:t>
      </w:r>
      <w:r>
        <w:rPr>
          <w:sz w:val="24"/>
          <w:szCs w:val="24"/>
        </w:rPr>
        <w:t>ё</w:t>
      </w:r>
      <w:r w:rsidRPr="004474FC">
        <w:rPr>
          <w:sz w:val="24"/>
          <w:szCs w:val="24"/>
        </w:rPr>
        <w:t>тном периоде, на основании показаний приборов уч</w:t>
      </w:r>
      <w:r>
        <w:rPr>
          <w:sz w:val="24"/>
          <w:szCs w:val="24"/>
        </w:rPr>
        <w:t>ё</w:t>
      </w:r>
      <w:r w:rsidRPr="004474FC">
        <w:rPr>
          <w:sz w:val="24"/>
          <w:szCs w:val="24"/>
        </w:rPr>
        <w:t>та такой объ</w:t>
      </w:r>
      <w:r>
        <w:rPr>
          <w:sz w:val="24"/>
          <w:szCs w:val="24"/>
        </w:rPr>
        <w:t>ё</w:t>
      </w:r>
      <w:r w:rsidRPr="004474FC">
        <w:rPr>
          <w:sz w:val="24"/>
          <w:szCs w:val="24"/>
        </w:rPr>
        <w:t>м определяется за вычетом объ</w:t>
      </w:r>
      <w:r>
        <w:rPr>
          <w:sz w:val="24"/>
          <w:szCs w:val="24"/>
        </w:rPr>
        <w:t>ё</w:t>
      </w:r>
      <w:r w:rsidRPr="004474FC">
        <w:rPr>
          <w:sz w:val="24"/>
          <w:szCs w:val="24"/>
        </w:rPr>
        <w:t>ма электрической энергии (мощности), потребленной в соответствующем расч</w:t>
      </w:r>
      <w:r>
        <w:rPr>
          <w:sz w:val="24"/>
          <w:szCs w:val="24"/>
        </w:rPr>
        <w:t>ё</w:t>
      </w:r>
      <w:r w:rsidRPr="004474FC">
        <w:rPr>
          <w:sz w:val="24"/>
          <w:szCs w:val="24"/>
        </w:rPr>
        <w:t>тном периоде Потребителями, имеющими отдельные договоры энергоснабжени</w:t>
      </w:r>
      <w:r>
        <w:rPr>
          <w:sz w:val="24"/>
          <w:szCs w:val="24"/>
        </w:rPr>
        <w:t xml:space="preserve">я с Гарантирующим поставщиком и, </w:t>
      </w:r>
      <w:r w:rsidRPr="004474FC">
        <w:rPr>
          <w:sz w:val="24"/>
          <w:szCs w:val="24"/>
        </w:rPr>
        <w:t>объём потребления электрической энергии (мощности) которых учитывается коллективн</w:t>
      </w:r>
      <w:r>
        <w:rPr>
          <w:sz w:val="24"/>
          <w:szCs w:val="24"/>
        </w:rPr>
        <w:t>ым</w:t>
      </w:r>
      <w:r w:rsidRPr="004474FC">
        <w:rPr>
          <w:sz w:val="24"/>
          <w:szCs w:val="24"/>
        </w:rPr>
        <w:t xml:space="preserve"> (общедомов</w:t>
      </w:r>
      <w:r>
        <w:rPr>
          <w:sz w:val="24"/>
          <w:szCs w:val="24"/>
        </w:rPr>
        <w:t>ым</w:t>
      </w:r>
      <w:r w:rsidRPr="004474FC">
        <w:rPr>
          <w:sz w:val="24"/>
          <w:szCs w:val="24"/>
        </w:rPr>
        <w:t>) прибор</w:t>
      </w:r>
      <w:r>
        <w:rPr>
          <w:sz w:val="24"/>
          <w:szCs w:val="24"/>
        </w:rPr>
        <w:t>ом</w:t>
      </w:r>
      <w:r w:rsidRPr="004474FC">
        <w:rPr>
          <w:sz w:val="24"/>
          <w:szCs w:val="24"/>
        </w:rPr>
        <w:t xml:space="preserve"> уч</w:t>
      </w:r>
      <w:r>
        <w:rPr>
          <w:sz w:val="24"/>
          <w:szCs w:val="24"/>
        </w:rPr>
        <w:t>ё</w:t>
      </w:r>
      <w:r w:rsidRPr="004474FC">
        <w:rPr>
          <w:sz w:val="24"/>
          <w:szCs w:val="24"/>
        </w:rPr>
        <w:t xml:space="preserve">та Исполнителя, указанными в Приложении № 3 к Договору. </w:t>
      </w:r>
    </w:p>
    <w:p w:rsidR="00E02F03" w:rsidRPr="004474FC" w:rsidRDefault="00E02F03" w:rsidP="003250CE">
      <w:pPr>
        <w:ind w:firstLine="567"/>
        <w:jc w:val="both"/>
        <w:rPr>
          <w:sz w:val="24"/>
          <w:szCs w:val="24"/>
        </w:rPr>
      </w:pPr>
      <w:r w:rsidRPr="004474FC">
        <w:rPr>
          <w:b/>
          <w:bCs/>
          <w:sz w:val="24"/>
          <w:szCs w:val="24"/>
        </w:rPr>
        <w:t xml:space="preserve">2.11. </w:t>
      </w:r>
      <w:r w:rsidRPr="004474FC">
        <w:rPr>
          <w:sz w:val="24"/>
          <w:szCs w:val="24"/>
        </w:rPr>
        <w:t xml:space="preserve">Гарантирующий поставщик и (или) Сетевая организация вправе проводить проверки </w:t>
      </w:r>
      <w:r>
        <w:rPr>
          <w:sz w:val="24"/>
          <w:szCs w:val="24"/>
        </w:rPr>
        <w:t>корректности снятия Исполнителем показаний</w:t>
      </w:r>
      <w:r w:rsidRPr="004474FC">
        <w:rPr>
          <w:sz w:val="24"/>
          <w:szCs w:val="24"/>
        </w:rPr>
        <w:t xml:space="preserve"> приборов учёта, полученных в соответствии с настоящим Порядком, с составлением Акта снятия контрольных показаний приборов учёта. В случае расхождения данных, полученных в соответствии с п. 2.2. настоящего Порядка, с данными, указанными в Акте снятия контрольных показаний приборов учёта, к расчёту принимаются данные, указанные в таком Акте.</w:t>
      </w:r>
    </w:p>
    <w:p w:rsidR="00E02F03" w:rsidRPr="004474FC" w:rsidRDefault="00E02F03" w:rsidP="00EF5C54">
      <w:pPr>
        <w:spacing w:before="120"/>
        <w:ind w:firstLine="720"/>
        <w:jc w:val="both"/>
        <w:rPr>
          <w:b/>
          <w:color w:val="000000"/>
          <w:sz w:val="24"/>
          <w:szCs w:val="24"/>
        </w:rPr>
      </w:pPr>
      <w:r w:rsidRPr="004474FC">
        <w:rPr>
          <w:b/>
          <w:sz w:val="24"/>
          <w:szCs w:val="24"/>
        </w:rPr>
        <w:t>3.</w:t>
      </w:r>
      <w:r w:rsidRPr="004474FC">
        <w:rPr>
          <w:b/>
          <w:color w:val="000000"/>
          <w:sz w:val="24"/>
          <w:szCs w:val="24"/>
        </w:rPr>
        <w:t> Порядок определения транзитного объ</w:t>
      </w:r>
      <w:r>
        <w:rPr>
          <w:b/>
          <w:color w:val="000000"/>
          <w:sz w:val="24"/>
          <w:szCs w:val="24"/>
        </w:rPr>
        <w:t>ё</w:t>
      </w:r>
      <w:r w:rsidRPr="004474FC">
        <w:rPr>
          <w:b/>
          <w:color w:val="000000"/>
          <w:sz w:val="24"/>
          <w:szCs w:val="24"/>
        </w:rPr>
        <w:t>ма</w:t>
      </w:r>
    </w:p>
    <w:p w:rsidR="00E02F03" w:rsidRPr="004474FC" w:rsidRDefault="00E02F03" w:rsidP="00EF5C54">
      <w:pPr>
        <w:ind w:firstLine="720"/>
        <w:jc w:val="both"/>
        <w:rPr>
          <w:iCs/>
          <w:sz w:val="24"/>
          <w:szCs w:val="24"/>
        </w:rPr>
      </w:pPr>
      <w:r w:rsidRPr="004474FC">
        <w:rPr>
          <w:b/>
          <w:iCs/>
          <w:sz w:val="24"/>
          <w:szCs w:val="24"/>
        </w:rPr>
        <w:t>3.1.</w:t>
      </w:r>
      <w:r w:rsidRPr="004474FC">
        <w:rPr>
          <w:iCs/>
          <w:sz w:val="24"/>
          <w:szCs w:val="24"/>
        </w:rPr>
        <w:t> Транзитный объ</w:t>
      </w:r>
      <w:r>
        <w:rPr>
          <w:iCs/>
          <w:sz w:val="24"/>
          <w:szCs w:val="24"/>
        </w:rPr>
        <w:t>ё</w:t>
      </w:r>
      <w:r w:rsidRPr="004474FC">
        <w:rPr>
          <w:iCs/>
          <w:sz w:val="24"/>
          <w:szCs w:val="24"/>
        </w:rPr>
        <w:t>м складывается из:</w:t>
      </w:r>
    </w:p>
    <w:p w:rsidR="00E02F03" w:rsidRPr="004474FC" w:rsidRDefault="00E02F03" w:rsidP="00EF5C54">
      <w:pPr>
        <w:tabs>
          <w:tab w:val="left" w:pos="993"/>
        </w:tabs>
        <w:ind w:firstLine="720"/>
        <w:jc w:val="both"/>
        <w:rPr>
          <w:iCs/>
          <w:sz w:val="24"/>
          <w:szCs w:val="24"/>
        </w:rPr>
      </w:pPr>
      <w:r w:rsidRPr="004474FC">
        <w:rPr>
          <w:iCs/>
          <w:sz w:val="24"/>
          <w:szCs w:val="24"/>
        </w:rPr>
        <w:t>-</w:t>
      </w:r>
      <w:r w:rsidRPr="004474FC">
        <w:rPr>
          <w:iCs/>
          <w:sz w:val="24"/>
          <w:szCs w:val="24"/>
        </w:rPr>
        <w:tab/>
        <w:t>объ</w:t>
      </w:r>
      <w:r>
        <w:rPr>
          <w:iCs/>
          <w:sz w:val="24"/>
          <w:szCs w:val="24"/>
        </w:rPr>
        <w:t>ё</w:t>
      </w:r>
      <w:r w:rsidRPr="004474FC">
        <w:rPr>
          <w:iCs/>
          <w:sz w:val="24"/>
          <w:szCs w:val="24"/>
        </w:rPr>
        <w:t>ма электропотребления Потребителей, владеющих на законном основании жилыми помещениями многоквартирного дома и имеющих заключенный с Гарантирующим поставщиком договор энергоснабжения в отношении соответствующих помещений;</w:t>
      </w:r>
    </w:p>
    <w:p w:rsidR="00E02F03" w:rsidRPr="004474FC" w:rsidRDefault="00E02F03" w:rsidP="00EF5C54">
      <w:pPr>
        <w:tabs>
          <w:tab w:val="left" w:pos="993"/>
        </w:tabs>
        <w:ind w:firstLine="720"/>
        <w:jc w:val="both"/>
        <w:rPr>
          <w:iCs/>
          <w:sz w:val="24"/>
          <w:szCs w:val="24"/>
        </w:rPr>
      </w:pPr>
      <w:r w:rsidRPr="004474FC">
        <w:rPr>
          <w:iCs/>
          <w:sz w:val="24"/>
          <w:szCs w:val="24"/>
        </w:rPr>
        <w:t>-</w:t>
      </w:r>
      <w:r w:rsidRPr="004474FC">
        <w:rPr>
          <w:iCs/>
          <w:sz w:val="24"/>
          <w:szCs w:val="24"/>
        </w:rPr>
        <w:tab/>
        <w:t>объ</w:t>
      </w:r>
      <w:r>
        <w:rPr>
          <w:iCs/>
          <w:sz w:val="24"/>
          <w:szCs w:val="24"/>
        </w:rPr>
        <w:t>ё</w:t>
      </w:r>
      <w:r w:rsidRPr="004474FC">
        <w:rPr>
          <w:iCs/>
          <w:sz w:val="24"/>
          <w:szCs w:val="24"/>
        </w:rPr>
        <w:t>ма потребления электрической энергии (мощности) энергопринимающими устройствами лиц, владеющих на законном основании нежилыми помещениями многоквартирного дома, имеющих заключенный с Гарантирующим поставщиком договор энергоснабжения в отношении соответствующих помещений (при наличии в многоквартирном доме таких помещений).</w:t>
      </w:r>
    </w:p>
    <w:p w:rsidR="00E02F03" w:rsidRPr="004474FC" w:rsidRDefault="00E02F03" w:rsidP="00EF5C54">
      <w:pPr>
        <w:pStyle w:val="BodyTextIndent"/>
        <w:spacing w:after="0"/>
        <w:ind w:left="0" w:firstLine="720"/>
        <w:jc w:val="both"/>
        <w:rPr>
          <w:iCs/>
          <w:sz w:val="24"/>
          <w:szCs w:val="24"/>
        </w:rPr>
      </w:pPr>
      <w:r w:rsidRPr="004474FC">
        <w:rPr>
          <w:b/>
          <w:iCs/>
          <w:sz w:val="24"/>
          <w:szCs w:val="24"/>
        </w:rPr>
        <w:t>3.2. </w:t>
      </w:r>
      <w:r w:rsidRPr="004474FC">
        <w:rPr>
          <w:iCs/>
          <w:sz w:val="24"/>
          <w:szCs w:val="24"/>
        </w:rPr>
        <w:t xml:space="preserve">Транзитный </w:t>
      </w:r>
      <w:r w:rsidRPr="004474FC">
        <w:rPr>
          <w:sz w:val="24"/>
          <w:szCs w:val="24"/>
        </w:rPr>
        <w:t>объ</w:t>
      </w:r>
      <w:r>
        <w:rPr>
          <w:sz w:val="24"/>
          <w:szCs w:val="24"/>
        </w:rPr>
        <w:t>ё</w:t>
      </w:r>
      <w:r w:rsidRPr="004474FC">
        <w:rPr>
          <w:sz w:val="24"/>
          <w:szCs w:val="24"/>
        </w:rPr>
        <w:t>м поставляемой по Договору электрической энергии (мощности) определяется исходя из показаний приборов уч</w:t>
      </w:r>
      <w:r>
        <w:rPr>
          <w:sz w:val="24"/>
          <w:szCs w:val="24"/>
        </w:rPr>
        <w:t>ё</w:t>
      </w:r>
      <w:r w:rsidRPr="004474FC">
        <w:rPr>
          <w:sz w:val="24"/>
          <w:szCs w:val="24"/>
        </w:rPr>
        <w:t>та (индивидуальных, квартирных и др.), а при их отсутствии или неисправности – способом</w:t>
      </w:r>
      <w:r w:rsidRPr="004474FC">
        <w:rPr>
          <w:color w:val="1F497D"/>
          <w:sz w:val="24"/>
          <w:szCs w:val="24"/>
        </w:rPr>
        <w:t xml:space="preserve">, </w:t>
      </w:r>
      <w:r w:rsidRPr="004474FC">
        <w:rPr>
          <w:sz w:val="24"/>
          <w:szCs w:val="24"/>
        </w:rPr>
        <w:t xml:space="preserve">предусмотренным действующим законодательством. </w:t>
      </w:r>
    </w:p>
    <w:p w:rsidR="00E02F03" w:rsidRPr="004474FC" w:rsidRDefault="00E02F03" w:rsidP="00EF5C54">
      <w:pPr>
        <w:tabs>
          <w:tab w:val="left" w:pos="993"/>
        </w:tabs>
        <w:ind w:firstLine="720"/>
        <w:jc w:val="both"/>
        <w:rPr>
          <w:iCs/>
          <w:sz w:val="24"/>
          <w:szCs w:val="24"/>
        </w:rPr>
      </w:pPr>
      <w:r w:rsidRPr="004474FC">
        <w:rPr>
          <w:b/>
          <w:iCs/>
          <w:sz w:val="24"/>
          <w:szCs w:val="24"/>
        </w:rPr>
        <w:t>3.3.</w:t>
      </w:r>
      <w:r w:rsidRPr="004474FC">
        <w:rPr>
          <w:iCs/>
          <w:sz w:val="24"/>
          <w:szCs w:val="24"/>
        </w:rPr>
        <w:t> Гарантирующий поставщик обязуется уведомлять Исполнителя при изменении данных о приборах уч</w:t>
      </w:r>
      <w:r>
        <w:rPr>
          <w:iCs/>
          <w:sz w:val="24"/>
          <w:szCs w:val="24"/>
        </w:rPr>
        <w:t>ё</w:t>
      </w:r>
      <w:r w:rsidRPr="004474FC">
        <w:rPr>
          <w:iCs/>
          <w:sz w:val="24"/>
          <w:szCs w:val="24"/>
        </w:rPr>
        <w:t>та Потребителей.</w:t>
      </w:r>
    </w:p>
    <w:p w:rsidR="00E02F03" w:rsidRPr="004474FC" w:rsidRDefault="00E02F03" w:rsidP="00EF5C54">
      <w:pPr>
        <w:tabs>
          <w:tab w:val="left" w:pos="993"/>
        </w:tabs>
        <w:ind w:firstLine="720"/>
        <w:jc w:val="both"/>
        <w:rPr>
          <w:iCs/>
          <w:sz w:val="24"/>
          <w:szCs w:val="24"/>
        </w:rPr>
      </w:pPr>
      <w:r w:rsidRPr="004474FC">
        <w:rPr>
          <w:iCs/>
          <w:sz w:val="24"/>
          <w:szCs w:val="24"/>
        </w:rPr>
        <w:t>Стороны обязуются переоформить Приложение № 3 к Договору при:</w:t>
      </w:r>
    </w:p>
    <w:p w:rsidR="00E02F03" w:rsidRPr="004474FC" w:rsidRDefault="00E02F03" w:rsidP="00EF5C54">
      <w:pPr>
        <w:tabs>
          <w:tab w:val="left" w:pos="993"/>
        </w:tabs>
        <w:ind w:firstLine="720"/>
        <w:jc w:val="both"/>
        <w:rPr>
          <w:iCs/>
          <w:sz w:val="24"/>
          <w:szCs w:val="24"/>
        </w:rPr>
      </w:pPr>
      <w:r w:rsidRPr="004474FC">
        <w:rPr>
          <w:iCs/>
          <w:sz w:val="24"/>
          <w:szCs w:val="24"/>
        </w:rPr>
        <w:t>- изменении количественного соотношения жилых и нежилых помещений в многоквартирном доме;</w:t>
      </w:r>
    </w:p>
    <w:p w:rsidR="00E02F03" w:rsidRPr="004474FC" w:rsidRDefault="00E02F03" w:rsidP="00EF5C54">
      <w:pPr>
        <w:tabs>
          <w:tab w:val="left" w:pos="993"/>
        </w:tabs>
        <w:ind w:firstLine="720"/>
        <w:jc w:val="both"/>
        <w:rPr>
          <w:iCs/>
          <w:sz w:val="24"/>
          <w:szCs w:val="24"/>
        </w:rPr>
      </w:pPr>
      <w:r w:rsidRPr="004474FC">
        <w:rPr>
          <w:iCs/>
          <w:sz w:val="24"/>
          <w:szCs w:val="24"/>
        </w:rPr>
        <w:t>- изменении информации о приборах уч</w:t>
      </w:r>
      <w:r>
        <w:rPr>
          <w:iCs/>
          <w:sz w:val="24"/>
          <w:szCs w:val="24"/>
        </w:rPr>
        <w:t>ё</w:t>
      </w:r>
      <w:r w:rsidRPr="004474FC">
        <w:rPr>
          <w:iCs/>
          <w:sz w:val="24"/>
          <w:szCs w:val="24"/>
        </w:rPr>
        <w:t>та Потребителей – не реже 1 (одного) раза в 3 (три) года (при условии наличия таких изменений).</w:t>
      </w:r>
    </w:p>
    <w:p w:rsidR="00E02F03" w:rsidRPr="004474FC" w:rsidRDefault="00E02F03" w:rsidP="00EF5C54">
      <w:pPr>
        <w:ind w:firstLine="720"/>
        <w:jc w:val="both"/>
        <w:rPr>
          <w:iCs/>
          <w:sz w:val="24"/>
          <w:szCs w:val="24"/>
        </w:rPr>
      </w:pPr>
      <w:r w:rsidRPr="004474FC">
        <w:rPr>
          <w:b/>
          <w:sz w:val="24"/>
          <w:szCs w:val="24"/>
        </w:rPr>
        <w:t>3.4. </w:t>
      </w:r>
      <w:r w:rsidRPr="004474FC">
        <w:rPr>
          <w:sz w:val="24"/>
          <w:szCs w:val="24"/>
        </w:rPr>
        <w:t>По запросу Исполнителя</w:t>
      </w:r>
      <w:r w:rsidRPr="000E0E41">
        <w:rPr>
          <w:b/>
          <w:sz w:val="24"/>
          <w:szCs w:val="24"/>
        </w:rPr>
        <w:t xml:space="preserve"> </w:t>
      </w:r>
      <w:r w:rsidRPr="00851E3E">
        <w:rPr>
          <w:iCs/>
          <w:sz w:val="24"/>
          <w:szCs w:val="24"/>
        </w:rPr>
        <w:t>Гарантирующий поставщик</w:t>
      </w:r>
      <w:r w:rsidRPr="000E0E41">
        <w:rPr>
          <w:iCs/>
          <w:sz w:val="24"/>
          <w:szCs w:val="24"/>
        </w:rPr>
        <w:t xml:space="preserve"> </w:t>
      </w:r>
      <w:r w:rsidRPr="00851E3E">
        <w:rPr>
          <w:iCs/>
          <w:sz w:val="24"/>
          <w:szCs w:val="24"/>
        </w:rPr>
        <w:t>предоставля</w:t>
      </w:r>
      <w:r w:rsidRPr="00795B4A">
        <w:rPr>
          <w:iCs/>
          <w:sz w:val="24"/>
          <w:szCs w:val="24"/>
        </w:rPr>
        <w:t>ет Испо</w:t>
      </w:r>
      <w:r w:rsidRPr="004474FC">
        <w:rPr>
          <w:iCs/>
          <w:sz w:val="24"/>
          <w:szCs w:val="24"/>
        </w:rPr>
        <w:t>лнителю сведения об</w:t>
      </w:r>
      <w:r w:rsidRPr="004474FC">
        <w:rPr>
          <w:b/>
          <w:i/>
          <w:iCs/>
          <w:sz w:val="24"/>
          <w:szCs w:val="24"/>
        </w:rPr>
        <w:t xml:space="preserve"> </w:t>
      </w:r>
      <w:r w:rsidRPr="004474FC">
        <w:rPr>
          <w:iCs/>
          <w:sz w:val="24"/>
          <w:szCs w:val="24"/>
        </w:rPr>
        <w:t>объ</w:t>
      </w:r>
      <w:r>
        <w:rPr>
          <w:iCs/>
          <w:sz w:val="24"/>
          <w:szCs w:val="24"/>
        </w:rPr>
        <w:t>ё</w:t>
      </w:r>
      <w:r w:rsidRPr="004474FC">
        <w:rPr>
          <w:iCs/>
          <w:sz w:val="24"/>
          <w:szCs w:val="24"/>
        </w:rPr>
        <w:t>ме потребления электрической энергии (мощности) каждого Потребителя за расч</w:t>
      </w:r>
      <w:r>
        <w:rPr>
          <w:iCs/>
          <w:sz w:val="24"/>
          <w:szCs w:val="24"/>
        </w:rPr>
        <w:t>ё</w:t>
      </w:r>
      <w:r w:rsidRPr="004474FC">
        <w:rPr>
          <w:iCs/>
          <w:sz w:val="24"/>
          <w:szCs w:val="24"/>
        </w:rPr>
        <w:t>тный период, такие сведения предоставляются на бумажном носителе по форме Гарантирующего поставщика.</w:t>
      </w:r>
    </w:p>
    <w:p w:rsidR="00E02F03" w:rsidRPr="004474FC" w:rsidRDefault="00E02F03" w:rsidP="00055CE2">
      <w:pPr>
        <w:spacing w:before="120"/>
        <w:ind w:firstLine="720"/>
        <w:jc w:val="both"/>
        <w:rPr>
          <w:b/>
          <w:sz w:val="24"/>
          <w:szCs w:val="24"/>
        </w:rPr>
      </w:pPr>
      <w:r w:rsidRPr="004474FC">
        <w:rPr>
          <w:b/>
          <w:sz w:val="24"/>
          <w:szCs w:val="24"/>
        </w:rPr>
        <w:t>4. Стоимость электрической энергии (мощности)</w:t>
      </w:r>
    </w:p>
    <w:p w:rsidR="00E02F03" w:rsidRPr="004474FC" w:rsidRDefault="00E02F03" w:rsidP="00055CE2">
      <w:pPr>
        <w:ind w:firstLine="720"/>
        <w:jc w:val="both"/>
        <w:rPr>
          <w:sz w:val="24"/>
          <w:szCs w:val="24"/>
        </w:rPr>
      </w:pPr>
      <w:r w:rsidRPr="004474FC">
        <w:rPr>
          <w:b/>
          <w:sz w:val="24"/>
          <w:szCs w:val="24"/>
        </w:rPr>
        <w:t>4.1.</w:t>
      </w:r>
      <w:r w:rsidRPr="004474FC">
        <w:rPr>
          <w:sz w:val="24"/>
          <w:szCs w:val="24"/>
        </w:rPr>
        <w:t> Стоимость фактического объ</w:t>
      </w:r>
      <w:r>
        <w:rPr>
          <w:sz w:val="24"/>
          <w:szCs w:val="24"/>
        </w:rPr>
        <w:t>ё</w:t>
      </w:r>
      <w:r w:rsidRPr="004474FC">
        <w:rPr>
          <w:sz w:val="24"/>
          <w:szCs w:val="24"/>
        </w:rPr>
        <w:t>ма электрической энергии (мощности), оплачиваемого Исполнителем в расч</w:t>
      </w:r>
      <w:r>
        <w:rPr>
          <w:sz w:val="24"/>
          <w:szCs w:val="24"/>
        </w:rPr>
        <w:t>ё</w:t>
      </w:r>
      <w:r w:rsidRPr="004474FC">
        <w:rPr>
          <w:sz w:val="24"/>
          <w:szCs w:val="24"/>
        </w:rPr>
        <w:t>тном периоде, определяется как произведение тарифа на соответствующие объ</w:t>
      </w:r>
      <w:r>
        <w:rPr>
          <w:sz w:val="24"/>
          <w:szCs w:val="24"/>
        </w:rPr>
        <w:t>ё</w:t>
      </w:r>
      <w:r w:rsidRPr="004474FC">
        <w:rPr>
          <w:sz w:val="24"/>
          <w:szCs w:val="24"/>
        </w:rPr>
        <w:t>мы электрической энергии (мощности), определенные согласно разделу 2 настоящего Порядка.</w:t>
      </w:r>
    </w:p>
    <w:p w:rsidR="00E02F03" w:rsidRDefault="00E02F03" w:rsidP="008032D7">
      <w:pPr>
        <w:ind w:firstLine="720"/>
        <w:jc w:val="both"/>
        <w:rPr>
          <w:sz w:val="24"/>
          <w:szCs w:val="24"/>
        </w:rPr>
      </w:pPr>
      <w:r w:rsidRPr="004474FC">
        <w:rPr>
          <w:b/>
          <w:sz w:val="24"/>
          <w:szCs w:val="24"/>
        </w:rPr>
        <w:t>4.2.</w:t>
      </w:r>
      <w:r w:rsidRPr="004474FC">
        <w:rPr>
          <w:sz w:val="24"/>
          <w:szCs w:val="24"/>
        </w:rPr>
        <w:t xml:space="preserve"> Порядок оплаты Исполнителем электрической энергии (мощности) устанавливается разделом 8 Договора.</w:t>
      </w:r>
    </w:p>
    <w:p w:rsidR="00E02F03" w:rsidRDefault="00E02F03" w:rsidP="008032D7">
      <w:pPr>
        <w:ind w:firstLine="720"/>
        <w:jc w:val="both"/>
        <w:rPr>
          <w:sz w:val="24"/>
          <w:szCs w:val="24"/>
        </w:rPr>
      </w:pPr>
    </w:p>
    <w:p w:rsidR="00E02F03" w:rsidRPr="004474FC" w:rsidRDefault="00E02F03" w:rsidP="00AD37F5">
      <w:pPr>
        <w:ind w:left="142"/>
        <w:rPr>
          <w:sz w:val="24"/>
          <w:szCs w:val="24"/>
        </w:rPr>
      </w:pPr>
    </w:p>
    <w:tbl>
      <w:tblPr>
        <w:tblpPr w:leftFromText="180" w:rightFromText="180" w:vertAnchor="text" w:tblpXSpec="center" w:tblpY="1"/>
        <w:tblOverlap w:val="never"/>
        <w:tblW w:w="0" w:type="auto"/>
        <w:tblLook w:val="01E0"/>
      </w:tblPr>
      <w:tblGrid>
        <w:gridCol w:w="4496"/>
        <w:gridCol w:w="689"/>
        <w:gridCol w:w="4387"/>
      </w:tblGrid>
      <w:tr w:rsidR="00E02F03" w:rsidRPr="004474FC" w:rsidTr="004474FC">
        <w:trPr>
          <w:trHeight w:val="709"/>
        </w:trPr>
        <w:tc>
          <w:tcPr>
            <w:tcW w:w="4644" w:type="dxa"/>
            <w:vAlign w:val="center"/>
          </w:tcPr>
          <w:p w:rsidR="00E02F03" w:rsidRDefault="00E02F03" w:rsidP="00EB5251">
            <w:pPr>
              <w:rPr>
                <w:b/>
                <w:sz w:val="24"/>
                <w:szCs w:val="24"/>
              </w:rPr>
            </w:pPr>
          </w:p>
          <w:p w:rsidR="00E02F03" w:rsidRPr="004474FC" w:rsidRDefault="00E02F03" w:rsidP="00EB5251">
            <w:pPr>
              <w:rPr>
                <w:b/>
                <w:sz w:val="24"/>
                <w:szCs w:val="24"/>
              </w:rPr>
            </w:pPr>
            <w:r w:rsidRPr="004474FC">
              <w:rPr>
                <w:b/>
                <w:sz w:val="24"/>
                <w:szCs w:val="24"/>
              </w:rPr>
              <w:t>от Гарантирующего поставщика:</w:t>
            </w:r>
          </w:p>
          <w:p w:rsidR="00E02F03" w:rsidRPr="004474FC" w:rsidRDefault="00E02F03" w:rsidP="00EB5251">
            <w:pPr>
              <w:rPr>
                <w:b/>
                <w:sz w:val="24"/>
                <w:szCs w:val="24"/>
              </w:rPr>
            </w:pPr>
          </w:p>
        </w:tc>
        <w:tc>
          <w:tcPr>
            <w:tcW w:w="851" w:type="dxa"/>
            <w:vAlign w:val="center"/>
          </w:tcPr>
          <w:p w:rsidR="00E02F03" w:rsidRPr="004474FC" w:rsidRDefault="00E02F03" w:rsidP="00984E3C">
            <w:pPr>
              <w:ind w:left="142"/>
              <w:jc w:val="center"/>
              <w:rPr>
                <w:b/>
                <w:sz w:val="24"/>
                <w:szCs w:val="24"/>
              </w:rPr>
            </w:pPr>
          </w:p>
        </w:tc>
        <w:tc>
          <w:tcPr>
            <w:tcW w:w="4644" w:type="dxa"/>
            <w:vAlign w:val="center"/>
          </w:tcPr>
          <w:p w:rsidR="00E02F03" w:rsidRPr="004474FC" w:rsidRDefault="00E02F03" w:rsidP="00EB5251">
            <w:pPr>
              <w:rPr>
                <w:b/>
                <w:sz w:val="24"/>
                <w:szCs w:val="24"/>
              </w:rPr>
            </w:pPr>
            <w:r w:rsidRPr="004474FC">
              <w:rPr>
                <w:b/>
                <w:sz w:val="24"/>
                <w:szCs w:val="24"/>
              </w:rPr>
              <w:t>от Исполнителя:</w:t>
            </w:r>
          </w:p>
        </w:tc>
      </w:tr>
      <w:tr w:rsidR="00E02F03" w:rsidRPr="004474FC" w:rsidTr="004474FC">
        <w:trPr>
          <w:trHeight w:val="1834"/>
        </w:trPr>
        <w:tc>
          <w:tcPr>
            <w:tcW w:w="4644" w:type="dxa"/>
            <w:vAlign w:val="center"/>
          </w:tcPr>
          <w:p w:rsidR="00E02F03" w:rsidRDefault="00E02F03" w:rsidP="005D40B6">
            <w:pPr>
              <w:ind w:left="142"/>
              <w:rPr>
                <w:b/>
                <w:sz w:val="24"/>
                <w:szCs w:val="24"/>
              </w:rPr>
            </w:pPr>
            <w:r>
              <w:rPr>
                <w:b/>
                <w:sz w:val="24"/>
                <w:szCs w:val="24"/>
              </w:rPr>
              <w:t>_______________________________</w:t>
            </w:r>
          </w:p>
          <w:p w:rsidR="00E02F03" w:rsidRDefault="00E02F03" w:rsidP="005D40B6">
            <w:pPr>
              <w:ind w:left="142"/>
              <w:rPr>
                <w:b/>
                <w:sz w:val="24"/>
                <w:szCs w:val="24"/>
              </w:rPr>
            </w:pPr>
            <w:r>
              <w:rPr>
                <w:b/>
                <w:sz w:val="24"/>
                <w:szCs w:val="24"/>
              </w:rPr>
              <w:t>АО «Охинская ТЭЦ»</w:t>
            </w:r>
          </w:p>
          <w:p w:rsidR="00E02F03" w:rsidRDefault="00E02F03" w:rsidP="005D40B6">
            <w:pPr>
              <w:ind w:left="142"/>
              <w:rPr>
                <w:b/>
                <w:sz w:val="24"/>
                <w:szCs w:val="24"/>
              </w:rPr>
            </w:pPr>
          </w:p>
          <w:p w:rsidR="00E02F03" w:rsidRPr="00A402B4" w:rsidRDefault="00E02F03" w:rsidP="005D40B6">
            <w:pPr>
              <w:ind w:left="142"/>
              <w:rPr>
                <w:b/>
                <w:sz w:val="24"/>
                <w:szCs w:val="24"/>
              </w:rPr>
            </w:pPr>
            <w:r>
              <w:rPr>
                <w:b/>
                <w:sz w:val="24"/>
                <w:szCs w:val="24"/>
              </w:rPr>
              <w:t xml:space="preserve"> </w:t>
            </w:r>
            <w:r w:rsidRPr="00A402B4">
              <w:rPr>
                <w:b/>
                <w:sz w:val="24"/>
                <w:szCs w:val="24"/>
              </w:rPr>
              <w:t>________________</w:t>
            </w:r>
            <w:r>
              <w:rPr>
                <w:b/>
                <w:sz w:val="24"/>
                <w:szCs w:val="24"/>
              </w:rPr>
              <w:t>/______________</w:t>
            </w:r>
          </w:p>
          <w:p w:rsidR="00E02F03" w:rsidRPr="004474FC" w:rsidRDefault="00E02F03" w:rsidP="005D40B6">
            <w:pPr>
              <w:tabs>
                <w:tab w:val="left" w:pos="558"/>
                <w:tab w:val="left" w:pos="2117"/>
              </w:tabs>
              <w:ind w:left="142"/>
              <w:rPr>
                <w:b/>
                <w:sz w:val="24"/>
                <w:szCs w:val="24"/>
              </w:rPr>
            </w:pPr>
            <w:r>
              <w:rPr>
                <w:b/>
                <w:sz w:val="24"/>
                <w:szCs w:val="24"/>
              </w:rPr>
              <w:t>мп</w:t>
            </w:r>
          </w:p>
        </w:tc>
        <w:tc>
          <w:tcPr>
            <w:tcW w:w="851" w:type="dxa"/>
            <w:vAlign w:val="center"/>
          </w:tcPr>
          <w:p w:rsidR="00E02F03" w:rsidRPr="004474FC" w:rsidRDefault="00E02F03" w:rsidP="00984E3C">
            <w:pPr>
              <w:ind w:left="142"/>
              <w:jc w:val="center"/>
              <w:rPr>
                <w:b/>
                <w:sz w:val="24"/>
                <w:szCs w:val="24"/>
              </w:rPr>
            </w:pPr>
          </w:p>
        </w:tc>
        <w:tc>
          <w:tcPr>
            <w:tcW w:w="4644" w:type="dxa"/>
            <w:vAlign w:val="center"/>
          </w:tcPr>
          <w:p w:rsidR="00E02F03" w:rsidRDefault="00E02F03" w:rsidP="005D40B6">
            <w:pPr>
              <w:ind w:left="142"/>
              <w:rPr>
                <w:b/>
                <w:sz w:val="24"/>
                <w:szCs w:val="24"/>
              </w:rPr>
            </w:pPr>
            <w:r>
              <w:rPr>
                <w:b/>
                <w:sz w:val="24"/>
                <w:szCs w:val="24"/>
              </w:rPr>
              <w:t>___________________________</w:t>
            </w:r>
          </w:p>
          <w:p w:rsidR="00E02F03" w:rsidRDefault="00E02F03" w:rsidP="005D40B6">
            <w:pPr>
              <w:ind w:left="142"/>
              <w:rPr>
                <w:b/>
                <w:sz w:val="24"/>
                <w:szCs w:val="24"/>
              </w:rPr>
            </w:pPr>
            <w:r>
              <w:rPr>
                <w:b/>
                <w:sz w:val="24"/>
                <w:szCs w:val="24"/>
              </w:rPr>
              <w:t>___________________________</w:t>
            </w:r>
          </w:p>
          <w:p w:rsidR="00E02F03" w:rsidRDefault="00E02F03" w:rsidP="005D40B6">
            <w:pPr>
              <w:tabs>
                <w:tab w:val="left" w:pos="859"/>
                <w:tab w:val="left" w:pos="2277"/>
              </w:tabs>
              <w:ind w:left="142"/>
              <w:rPr>
                <w:sz w:val="24"/>
                <w:szCs w:val="24"/>
              </w:rPr>
            </w:pPr>
          </w:p>
          <w:p w:rsidR="00E02F03" w:rsidRDefault="00E02F03" w:rsidP="006463EC">
            <w:pPr>
              <w:tabs>
                <w:tab w:val="left" w:pos="859"/>
                <w:tab w:val="left" w:pos="2277"/>
              </w:tabs>
              <w:ind w:left="142"/>
              <w:rPr>
                <w:b/>
                <w:sz w:val="24"/>
                <w:szCs w:val="24"/>
              </w:rPr>
            </w:pPr>
            <w:r>
              <w:rPr>
                <w:b/>
                <w:sz w:val="24"/>
                <w:szCs w:val="24"/>
              </w:rPr>
              <w:t>_______________/____________</w:t>
            </w:r>
          </w:p>
          <w:p w:rsidR="00E02F03" w:rsidRPr="004474FC" w:rsidRDefault="00E02F03" w:rsidP="006463EC">
            <w:pPr>
              <w:tabs>
                <w:tab w:val="left" w:pos="859"/>
                <w:tab w:val="left" w:pos="2277"/>
              </w:tabs>
              <w:ind w:left="142"/>
              <w:rPr>
                <w:b/>
                <w:sz w:val="24"/>
                <w:szCs w:val="24"/>
              </w:rPr>
            </w:pPr>
            <w:r>
              <w:rPr>
                <w:b/>
                <w:sz w:val="24"/>
                <w:szCs w:val="24"/>
              </w:rPr>
              <w:t>мп</w:t>
            </w:r>
          </w:p>
        </w:tc>
      </w:tr>
    </w:tbl>
    <w:p w:rsidR="00E02F03" w:rsidRPr="004474FC" w:rsidRDefault="00E02F03" w:rsidP="00AD37F5">
      <w:pPr>
        <w:rPr>
          <w:sz w:val="24"/>
          <w:szCs w:val="24"/>
        </w:rPr>
      </w:pPr>
    </w:p>
    <w:sectPr w:rsidR="00E02F03" w:rsidRPr="004474FC" w:rsidSect="006463EC">
      <w:headerReference w:type="even" r:id="rId7"/>
      <w:headerReference w:type="default" r:id="rId8"/>
      <w:footerReference w:type="default" r:id="rId9"/>
      <w:pgSz w:w="11907" w:h="16840" w:code="9"/>
      <w:pgMar w:top="1134" w:right="850" w:bottom="1134" w:left="1701" w:header="567" w:footer="32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F03" w:rsidRDefault="00E02F03">
      <w:r>
        <w:separator/>
      </w:r>
    </w:p>
  </w:endnote>
  <w:endnote w:type="continuationSeparator" w:id="0">
    <w:p w:rsidR="00E02F03" w:rsidRDefault="00E02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03" w:rsidRPr="00483EFA" w:rsidRDefault="00E02F03" w:rsidP="00437617">
    <w:pPr>
      <w:pStyle w:val="Footer"/>
      <w:tabs>
        <w:tab w:val="clear" w:pos="9355"/>
      </w:tabs>
      <w:jc w:val="both"/>
      <w:rPr>
        <w:b/>
        <w:i/>
        <w:spacing w:val="-12"/>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F03" w:rsidRDefault="00E02F03">
      <w:r>
        <w:separator/>
      </w:r>
    </w:p>
  </w:footnote>
  <w:footnote w:type="continuationSeparator" w:id="0">
    <w:p w:rsidR="00E02F03" w:rsidRDefault="00E02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03" w:rsidRDefault="00E02F03" w:rsidP="000E60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02F03" w:rsidRDefault="00E02F03" w:rsidP="000E60B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F03" w:rsidRDefault="00E02F03" w:rsidP="000E60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02F03" w:rsidRDefault="00E02F03" w:rsidP="000E60B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F82B48A"/>
    <w:lvl w:ilvl="0">
      <w:start w:val="1"/>
      <w:numFmt w:val="decimal"/>
      <w:pStyle w:val="ListNumber"/>
      <w:lvlText w:val="%1."/>
      <w:lvlJc w:val="left"/>
      <w:pPr>
        <w:tabs>
          <w:tab w:val="num" w:pos="360"/>
        </w:tabs>
        <w:ind w:left="360" w:hanging="360"/>
      </w:pPr>
    </w:lvl>
  </w:abstractNum>
  <w:abstractNum w:abstractNumId="1">
    <w:nsid w:val="10C57B68"/>
    <w:multiLevelType w:val="multilevel"/>
    <w:tmpl w:val="04268EAC"/>
    <w:lvl w:ilvl="0">
      <w:start w:val="1"/>
      <w:numFmt w:val="russianLower"/>
      <w:lvlText w:val="%1)."/>
      <w:lvlJc w:val="left"/>
      <w:pPr>
        <w:tabs>
          <w:tab w:val="num" w:pos="1814"/>
        </w:tabs>
        <w:ind w:left="1134" w:firstLine="680"/>
      </w:pPr>
      <w:rPr>
        <w:rFonts w:cs="Times New Roman" w:hint="default"/>
        <w:b/>
        <w:i w:val="0"/>
        <w:sz w:val="24"/>
        <w:szCs w:val="24"/>
      </w:rPr>
    </w:lvl>
    <w:lvl w:ilvl="1">
      <w:start w:val="1"/>
      <w:numFmt w:val="decimal"/>
      <w:lvlText w:val="%2)"/>
      <w:lvlJc w:val="left"/>
      <w:pPr>
        <w:tabs>
          <w:tab w:val="num" w:pos="2574"/>
        </w:tabs>
        <w:ind w:left="2574" w:hanging="360"/>
      </w:pPr>
      <w:rPr>
        <w:rFonts w:cs="Times New Roman" w:hint="default"/>
        <w:b/>
        <w:i w:val="0"/>
        <w:sz w:val="24"/>
        <w:szCs w:val="24"/>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
    <w:nsid w:val="1AE62076"/>
    <w:multiLevelType w:val="multilevel"/>
    <w:tmpl w:val="FB6E6A6C"/>
    <w:lvl w:ilvl="0">
      <w:start w:val="1"/>
      <w:numFmt w:val="decimal"/>
      <w:pStyle w:val="List"/>
      <w:lvlText w:val="%1."/>
      <w:lvlJc w:val="left"/>
      <w:pPr>
        <w:tabs>
          <w:tab w:val="num" w:pos="397"/>
        </w:tabs>
      </w:pPr>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w w:val="100"/>
        <w:kern w:val="0"/>
        <w:position w:val="0"/>
        <w:sz w:val="18"/>
        <w:szCs w:val="18"/>
        <w:u w:val="none" w:color="000000"/>
        <w:vertAlign w:val="baseline"/>
      </w:rPr>
    </w:lvl>
    <w:lvl w:ilvl="1">
      <w:start w:val="1"/>
      <w:numFmt w:val="decimal"/>
      <w:pStyle w:val="1"/>
      <w:lvlText w:val="%1.%2."/>
      <w:lvlJc w:val="left"/>
      <w:pPr>
        <w:tabs>
          <w:tab w:val="num" w:pos="397"/>
        </w:tabs>
      </w:pPr>
      <w:rPr>
        <w:rFonts w:cs="Times New Roman" w:hint="default"/>
        <w:b/>
        <w:i w:val="0"/>
        <w:color w:val="auto"/>
        <w:sz w:val="18"/>
        <w:szCs w:val="18"/>
      </w:rPr>
    </w:lvl>
    <w:lvl w:ilvl="2">
      <w:start w:val="1"/>
      <w:numFmt w:val="russianLower"/>
      <w:lvlRestart w:val="0"/>
      <w:pStyle w:val="10"/>
      <w:lvlText w:val="%3)"/>
      <w:lvlJc w:val="left"/>
      <w:pPr>
        <w:tabs>
          <w:tab w:val="num" w:pos="720"/>
        </w:tabs>
        <w:ind w:left="510" w:firstLine="210"/>
      </w:pPr>
      <w:rPr>
        <w:rFonts w:cs="Times New Roman" w:hint="default"/>
        <w:b/>
        <w:i w:val="0"/>
        <w:sz w:val="20"/>
        <w:szCs w:val="20"/>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1F4E3A13"/>
    <w:multiLevelType w:val="hybridMultilevel"/>
    <w:tmpl w:val="6DF4B616"/>
    <w:lvl w:ilvl="0" w:tplc="04190001">
      <w:start w:val="1"/>
      <w:numFmt w:val="bullet"/>
      <w:lvlText w:val=""/>
      <w:lvlJc w:val="left"/>
      <w:pPr>
        <w:tabs>
          <w:tab w:val="num" w:pos="2174"/>
        </w:tabs>
        <w:ind w:left="2174" w:hanging="360"/>
      </w:pPr>
      <w:rPr>
        <w:rFonts w:ascii="Symbol" w:hAnsi="Symbol" w:hint="default"/>
        <w:b/>
        <w:i w:val="0"/>
        <w:sz w:val="24"/>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4">
    <w:nsid w:val="2CDC35BA"/>
    <w:multiLevelType w:val="multilevel"/>
    <w:tmpl w:val="0419001D"/>
    <w:styleLink w:val="a"/>
    <w:lvl w:ilvl="0">
      <w:start w:val="1"/>
      <w:numFmt w:val="decimal"/>
      <w:lvlText w:val="%1)"/>
      <w:lvlJc w:val="left"/>
      <w:pPr>
        <w:ind w:left="360" w:hanging="360"/>
      </w:pPr>
      <w:rPr>
        <w:rFonts w:ascii="Times New Roman" w:hAnsi="Times New Roman" w:cs="Times New Roman"/>
        <w:b/>
        <w:sz w:val="28"/>
      </w:rPr>
    </w:lvl>
    <w:lvl w:ilvl="1">
      <w:start w:val="1"/>
      <w:numFmt w:val="decimal"/>
      <w:lvlText w:val="%2)"/>
      <w:lvlJc w:val="left"/>
      <w:pPr>
        <w:ind w:left="720" w:hanging="360"/>
      </w:pPr>
      <w:rPr>
        <w:rFonts w:ascii="Times New Roman" w:hAnsi="Times New Roman" w:cs="Times New Roman"/>
        <w:sz w:val="28"/>
      </w:rPr>
    </w:lvl>
    <w:lvl w:ilvl="2">
      <w:start w:val="1"/>
      <w:numFmt w:val="decimal"/>
      <w:lvlText w:val="%3)"/>
      <w:lvlJc w:val="left"/>
      <w:pPr>
        <w:ind w:left="1080" w:hanging="360"/>
      </w:pPr>
      <w:rPr>
        <w:rFonts w:ascii="Times New Roman" w:hAnsi="Times New Roman" w:cs="Times New Roman"/>
        <w:sz w:val="28"/>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2C6D95"/>
    <w:multiLevelType w:val="hybridMultilevel"/>
    <w:tmpl w:val="7C88D162"/>
    <w:lvl w:ilvl="0" w:tplc="549E9DCA">
      <w:start w:val="1"/>
      <w:numFmt w:val="russianLower"/>
      <w:lvlText w:val="%1)."/>
      <w:lvlJc w:val="left"/>
      <w:pPr>
        <w:tabs>
          <w:tab w:val="num" w:pos="680"/>
        </w:tabs>
        <w:ind w:firstLine="680"/>
      </w:pPr>
      <w:rPr>
        <w:rFonts w:cs="Times New Roman" w:hint="default"/>
        <w:b/>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04224F"/>
    <w:multiLevelType w:val="hybridMultilevel"/>
    <w:tmpl w:val="66E028E4"/>
    <w:lvl w:ilvl="0" w:tplc="9F94867A">
      <w:start w:val="1"/>
      <w:numFmt w:val="russianLower"/>
      <w:lvlText w:val="%1)."/>
      <w:lvlJc w:val="left"/>
      <w:pPr>
        <w:tabs>
          <w:tab w:val="num" w:pos="1814"/>
        </w:tabs>
        <w:ind w:left="1134" w:firstLine="680"/>
      </w:pPr>
      <w:rPr>
        <w:rFonts w:cs="Times New Roman" w:hint="default"/>
        <w:b/>
        <w:i w:val="0"/>
        <w:sz w:val="24"/>
        <w:szCs w:val="24"/>
      </w:rPr>
    </w:lvl>
    <w:lvl w:ilvl="1" w:tplc="7D9A195A">
      <w:start w:val="1"/>
      <w:numFmt w:val="decimal"/>
      <w:lvlText w:val="%2)."/>
      <w:lvlJc w:val="left"/>
      <w:pPr>
        <w:tabs>
          <w:tab w:val="num" w:pos="2574"/>
        </w:tabs>
        <w:ind w:left="2574" w:hanging="360"/>
      </w:pPr>
      <w:rPr>
        <w:rFonts w:cs="Times New Roman" w:hint="default"/>
        <w:b w:val="0"/>
        <w:i w:val="0"/>
        <w:sz w:val="24"/>
        <w:szCs w:val="24"/>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7">
    <w:nsid w:val="7B1D670A"/>
    <w:multiLevelType w:val="multilevel"/>
    <w:tmpl w:val="3D682B5C"/>
    <w:lvl w:ilvl="0">
      <w:start w:val="1"/>
      <w:numFmt w:val="russianLower"/>
      <w:lvlText w:val="%1)."/>
      <w:lvlJc w:val="left"/>
      <w:pPr>
        <w:tabs>
          <w:tab w:val="num" w:pos="1814"/>
        </w:tabs>
        <w:ind w:left="1134" w:firstLine="680"/>
      </w:pPr>
      <w:rPr>
        <w:rFonts w:cs="Times New Roman" w:hint="default"/>
        <w:b/>
        <w:i w:val="0"/>
        <w:sz w:val="24"/>
        <w:szCs w:val="24"/>
      </w:rPr>
    </w:lvl>
    <w:lvl w:ilvl="1">
      <w:start w:val="1"/>
      <w:numFmt w:val="decimal"/>
      <w:lvlText w:val="%2)"/>
      <w:lvlJc w:val="left"/>
      <w:pPr>
        <w:tabs>
          <w:tab w:val="num" w:pos="2574"/>
        </w:tabs>
        <w:ind w:left="2574" w:hanging="360"/>
      </w:pPr>
      <w:rPr>
        <w:rFonts w:cs="Times New Roman" w:hint="default"/>
        <w:b w:val="0"/>
        <w:i w:val="0"/>
        <w:sz w:val="24"/>
        <w:szCs w:val="24"/>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8">
    <w:nsid w:val="7C842930"/>
    <w:multiLevelType w:val="multilevel"/>
    <w:tmpl w:val="3AB0DE32"/>
    <w:lvl w:ilvl="0">
      <w:start w:val="3"/>
      <w:numFmt w:val="decimal"/>
      <w:lvlText w:val="%1."/>
      <w:lvlJc w:val="center"/>
      <w:pPr>
        <w:tabs>
          <w:tab w:val="num" w:pos="284"/>
        </w:tabs>
      </w:pPr>
      <w:rPr>
        <w:rFonts w:ascii="Times New Roman" w:hAnsi="Times New Roman" w:cs="Times New Roman" w:hint="default"/>
        <w:b/>
        <w:i w:val="0"/>
        <w:sz w:val="28"/>
      </w:rPr>
    </w:lvl>
    <w:lvl w:ilvl="1">
      <w:start w:val="1"/>
      <w:numFmt w:val="decimal"/>
      <w:lvlText w:val="5.%2."/>
      <w:lvlJc w:val="left"/>
      <w:pPr>
        <w:tabs>
          <w:tab w:val="num" w:pos="964"/>
        </w:tabs>
        <w:ind w:firstLine="680"/>
      </w:pPr>
      <w:rPr>
        <w:rFonts w:ascii="Times New Roman" w:hAnsi="Times New Roman" w:cs="Times New Roman" w:hint="default"/>
        <w:b w:val="0"/>
        <w:i w:val="0"/>
        <w:sz w:val="28"/>
      </w:rPr>
    </w:lvl>
    <w:lvl w:ilvl="2">
      <w:start w:val="7"/>
      <w:numFmt w:val="decimal"/>
      <w:lvlRestart w:val="0"/>
      <w:lvlText w:val="%1.%2.%3."/>
      <w:lvlJc w:val="left"/>
      <w:pPr>
        <w:tabs>
          <w:tab w:val="num" w:pos="1134"/>
        </w:tabs>
        <w:ind w:left="709" w:firstLine="255"/>
      </w:pPr>
      <w:rPr>
        <w:rFonts w:ascii="Times New Roman" w:hAnsi="Times New Roman" w:cs="Times New Roman" w:hint="default"/>
        <w:b w:val="0"/>
        <w:i w:val="0"/>
        <w:sz w:val="28"/>
      </w:rPr>
    </w:lvl>
    <w:lvl w:ilvl="3">
      <w:start w:val="1"/>
      <w:numFmt w:val="bullet"/>
      <w:lvlText w:val="-"/>
      <w:lvlJc w:val="left"/>
      <w:pPr>
        <w:tabs>
          <w:tab w:val="num" w:pos="2862"/>
        </w:tabs>
        <w:ind w:left="2862" w:hanging="648"/>
      </w:pPr>
      <w:rPr>
        <w:rFonts w:ascii="Times New Roman" w:hint="default"/>
      </w:rPr>
    </w:lvl>
    <w:lvl w:ilvl="4">
      <w:start w:val="1"/>
      <w:numFmt w:val="decimal"/>
      <w:lvlText w:val="%1.%2.%3.%4.%5."/>
      <w:lvlJc w:val="left"/>
      <w:pPr>
        <w:tabs>
          <w:tab w:val="num" w:pos="3654"/>
        </w:tabs>
        <w:ind w:left="3366" w:hanging="792"/>
      </w:pPr>
      <w:rPr>
        <w:rFonts w:cs="Times New Roman" w:hint="default"/>
      </w:rPr>
    </w:lvl>
    <w:lvl w:ilvl="5">
      <w:start w:val="1"/>
      <w:numFmt w:val="decimal"/>
      <w:lvlText w:val="%1.%2.%3.%4.%5.%6."/>
      <w:lvlJc w:val="left"/>
      <w:pPr>
        <w:tabs>
          <w:tab w:val="num" w:pos="4014"/>
        </w:tabs>
        <w:ind w:left="3870" w:hanging="936"/>
      </w:pPr>
      <w:rPr>
        <w:rFonts w:cs="Times New Roman" w:hint="default"/>
      </w:rPr>
    </w:lvl>
    <w:lvl w:ilvl="6">
      <w:start w:val="1"/>
      <w:numFmt w:val="decimal"/>
      <w:lvlText w:val="%1.%2.%3.%4.%5.%6.%7."/>
      <w:lvlJc w:val="left"/>
      <w:pPr>
        <w:tabs>
          <w:tab w:val="num" w:pos="4734"/>
        </w:tabs>
        <w:ind w:left="4374" w:hanging="1080"/>
      </w:pPr>
      <w:rPr>
        <w:rFonts w:cs="Times New Roman" w:hint="default"/>
      </w:rPr>
    </w:lvl>
    <w:lvl w:ilvl="7">
      <w:start w:val="1"/>
      <w:numFmt w:val="decimal"/>
      <w:lvlText w:val="%1.%2.%3.%4.%5.%6.%7.%8."/>
      <w:lvlJc w:val="left"/>
      <w:pPr>
        <w:tabs>
          <w:tab w:val="num" w:pos="5094"/>
        </w:tabs>
        <w:ind w:left="4878" w:hanging="1224"/>
      </w:pPr>
      <w:rPr>
        <w:rFonts w:cs="Times New Roman" w:hint="default"/>
      </w:rPr>
    </w:lvl>
    <w:lvl w:ilvl="8">
      <w:start w:val="1"/>
      <w:numFmt w:val="decimal"/>
      <w:lvlText w:val="%1.%2.%3.%4.%5.%6.%7.%8.%9."/>
      <w:lvlJc w:val="left"/>
      <w:pPr>
        <w:tabs>
          <w:tab w:val="num" w:pos="5814"/>
        </w:tabs>
        <w:ind w:left="5454" w:hanging="1440"/>
      </w:pPr>
      <w:rPr>
        <w:rFonts w:cs="Times New Roman" w:hint="default"/>
      </w:rPr>
    </w:lvl>
  </w:abstractNum>
  <w:num w:numId="1">
    <w:abstractNumId w:val="0"/>
  </w:num>
  <w:num w:numId="2">
    <w:abstractNumId w:val="5"/>
  </w:num>
  <w:num w:numId="3">
    <w:abstractNumId w:val="6"/>
  </w:num>
  <w:num w:numId="4">
    <w:abstractNumId w:val="3"/>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EF0"/>
    <w:rsid w:val="00000653"/>
    <w:rsid w:val="00003DC6"/>
    <w:rsid w:val="00006036"/>
    <w:rsid w:val="00006714"/>
    <w:rsid w:val="00006F9D"/>
    <w:rsid w:val="00015AAF"/>
    <w:rsid w:val="00016BCF"/>
    <w:rsid w:val="000175E4"/>
    <w:rsid w:val="00022E5D"/>
    <w:rsid w:val="00023ECC"/>
    <w:rsid w:val="00027A2A"/>
    <w:rsid w:val="000340E3"/>
    <w:rsid w:val="00035E10"/>
    <w:rsid w:val="000411D7"/>
    <w:rsid w:val="00042D07"/>
    <w:rsid w:val="00046A51"/>
    <w:rsid w:val="00052117"/>
    <w:rsid w:val="000525C5"/>
    <w:rsid w:val="000538EB"/>
    <w:rsid w:val="00055CE2"/>
    <w:rsid w:val="00060630"/>
    <w:rsid w:val="000633AF"/>
    <w:rsid w:val="00064892"/>
    <w:rsid w:val="00065757"/>
    <w:rsid w:val="000658BA"/>
    <w:rsid w:val="00065E9A"/>
    <w:rsid w:val="00072A2C"/>
    <w:rsid w:val="00082500"/>
    <w:rsid w:val="000870B5"/>
    <w:rsid w:val="000961F9"/>
    <w:rsid w:val="0009708E"/>
    <w:rsid w:val="00097250"/>
    <w:rsid w:val="000A2C40"/>
    <w:rsid w:val="000A4F83"/>
    <w:rsid w:val="000A5BA9"/>
    <w:rsid w:val="000A6333"/>
    <w:rsid w:val="000B0F18"/>
    <w:rsid w:val="000B57A6"/>
    <w:rsid w:val="000C5A8C"/>
    <w:rsid w:val="000C63CF"/>
    <w:rsid w:val="000D1F72"/>
    <w:rsid w:val="000D4D8B"/>
    <w:rsid w:val="000E0E41"/>
    <w:rsid w:val="000E60B8"/>
    <w:rsid w:val="000F1778"/>
    <w:rsid w:val="000F2BB7"/>
    <w:rsid w:val="000F3124"/>
    <w:rsid w:val="000F6A0A"/>
    <w:rsid w:val="000F7C12"/>
    <w:rsid w:val="001022AF"/>
    <w:rsid w:val="00105E34"/>
    <w:rsid w:val="0011277D"/>
    <w:rsid w:val="00114ADB"/>
    <w:rsid w:val="00125DFB"/>
    <w:rsid w:val="00126839"/>
    <w:rsid w:val="00126F9A"/>
    <w:rsid w:val="00131439"/>
    <w:rsid w:val="00137586"/>
    <w:rsid w:val="0014706D"/>
    <w:rsid w:val="00152A1A"/>
    <w:rsid w:val="00152CA5"/>
    <w:rsid w:val="00153DE2"/>
    <w:rsid w:val="00154116"/>
    <w:rsid w:val="001555DE"/>
    <w:rsid w:val="00155692"/>
    <w:rsid w:val="0016201B"/>
    <w:rsid w:val="00165411"/>
    <w:rsid w:val="00166A14"/>
    <w:rsid w:val="00166C3F"/>
    <w:rsid w:val="0016777B"/>
    <w:rsid w:val="00171DA7"/>
    <w:rsid w:val="00175C6D"/>
    <w:rsid w:val="001763DC"/>
    <w:rsid w:val="00181B53"/>
    <w:rsid w:val="00182908"/>
    <w:rsid w:val="001843FC"/>
    <w:rsid w:val="00187769"/>
    <w:rsid w:val="00195514"/>
    <w:rsid w:val="00196815"/>
    <w:rsid w:val="001A0374"/>
    <w:rsid w:val="001A107E"/>
    <w:rsid w:val="001A3573"/>
    <w:rsid w:val="001A6759"/>
    <w:rsid w:val="001A6FC4"/>
    <w:rsid w:val="001B2817"/>
    <w:rsid w:val="001B4F52"/>
    <w:rsid w:val="001C3F27"/>
    <w:rsid w:val="001C47EA"/>
    <w:rsid w:val="001C4B8A"/>
    <w:rsid w:val="001C6CA7"/>
    <w:rsid w:val="001D5A34"/>
    <w:rsid w:val="001D645C"/>
    <w:rsid w:val="001E0B42"/>
    <w:rsid w:val="001E2D17"/>
    <w:rsid w:val="001E3AE0"/>
    <w:rsid w:val="001E408A"/>
    <w:rsid w:val="001E4C62"/>
    <w:rsid w:val="001E60A6"/>
    <w:rsid w:val="001E6619"/>
    <w:rsid w:val="001E743E"/>
    <w:rsid w:val="001F4924"/>
    <w:rsid w:val="001F5FC2"/>
    <w:rsid w:val="001F6F6A"/>
    <w:rsid w:val="00200D00"/>
    <w:rsid w:val="00202547"/>
    <w:rsid w:val="0020439C"/>
    <w:rsid w:val="002059DE"/>
    <w:rsid w:val="00207635"/>
    <w:rsid w:val="0021005B"/>
    <w:rsid w:val="00210C3E"/>
    <w:rsid w:val="00211A17"/>
    <w:rsid w:val="00212D3D"/>
    <w:rsid w:val="0021309B"/>
    <w:rsid w:val="0022290D"/>
    <w:rsid w:val="00224401"/>
    <w:rsid w:val="002252AB"/>
    <w:rsid w:val="00225439"/>
    <w:rsid w:val="00225504"/>
    <w:rsid w:val="0022597D"/>
    <w:rsid w:val="0023137B"/>
    <w:rsid w:val="00235374"/>
    <w:rsid w:val="00240E9B"/>
    <w:rsid w:val="00243E3C"/>
    <w:rsid w:val="002441C3"/>
    <w:rsid w:val="00246DA9"/>
    <w:rsid w:val="002537B9"/>
    <w:rsid w:val="00253879"/>
    <w:rsid w:val="00253A0B"/>
    <w:rsid w:val="0025647F"/>
    <w:rsid w:val="00256BDF"/>
    <w:rsid w:val="0026209A"/>
    <w:rsid w:val="002625A7"/>
    <w:rsid w:val="00262999"/>
    <w:rsid w:val="00262EE0"/>
    <w:rsid w:val="002650C0"/>
    <w:rsid w:val="0026561A"/>
    <w:rsid w:val="00271A92"/>
    <w:rsid w:val="002735D7"/>
    <w:rsid w:val="0027444F"/>
    <w:rsid w:val="00276102"/>
    <w:rsid w:val="00277814"/>
    <w:rsid w:val="002811A0"/>
    <w:rsid w:val="002825DD"/>
    <w:rsid w:val="0028326B"/>
    <w:rsid w:val="002841C6"/>
    <w:rsid w:val="00291477"/>
    <w:rsid w:val="002929AB"/>
    <w:rsid w:val="00293824"/>
    <w:rsid w:val="002943EE"/>
    <w:rsid w:val="00295BD0"/>
    <w:rsid w:val="00296114"/>
    <w:rsid w:val="00297978"/>
    <w:rsid w:val="002A062F"/>
    <w:rsid w:val="002A27C6"/>
    <w:rsid w:val="002A3FC5"/>
    <w:rsid w:val="002A4176"/>
    <w:rsid w:val="002A5CE8"/>
    <w:rsid w:val="002A7741"/>
    <w:rsid w:val="002A7962"/>
    <w:rsid w:val="002B12E1"/>
    <w:rsid w:val="002B2E5A"/>
    <w:rsid w:val="002B5FAB"/>
    <w:rsid w:val="002B7C8C"/>
    <w:rsid w:val="002C13B0"/>
    <w:rsid w:val="002C4950"/>
    <w:rsid w:val="002C4F02"/>
    <w:rsid w:val="002C5BA2"/>
    <w:rsid w:val="002D0557"/>
    <w:rsid w:val="002D1C86"/>
    <w:rsid w:val="002D4F7D"/>
    <w:rsid w:val="002D6379"/>
    <w:rsid w:val="002E1C49"/>
    <w:rsid w:val="002F3A59"/>
    <w:rsid w:val="0030054A"/>
    <w:rsid w:val="00301A45"/>
    <w:rsid w:val="00307DB6"/>
    <w:rsid w:val="00310741"/>
    <w:rsid w:val="00314972"/>
    <w:rsid w:val="00317FF8"/>
    <w:rsid w:val="0032191D"/>
    <w:rsid w:val="00323181"/>
    <w:rsid w:val="00325058"/>
    <w:rsid w:val="003250CE"/>
    <w:rsid w:val="003266A3"/>
    <w:rsid w:val="00327072"/>
    <w:rsid w:val="003320FF"/>
    <w:rsid w:val="00333ECA"/>
    <w:rsid w:val="003343E6"/>
    <w:rsid w:val="00334723"/>
    <w:rsid w:val="00334A42"/>
    <w:rsid w:val="00335BE6"/>
    <w:rsid w:val="00343627"/>
    <w:rsid w:val="003455A9"/>
    <w:rsid w:val="0034669A"/>
    <w:rsid w:val="00346770"/>
    <w:rsid w:val="003543B3"/>
    <w:rsid w:val="0035505F"/>
    <w:rsid w:val="00365BC0"/>
    <w:rsid w:val="003662DA"/>
    <w:rsid w:val="00367AC4"/>
    <w:rsid w:val="003730E6"/>
    <w:rsid w:val="003754EC"/>
    <w:rsid w:val="00376EF0"/>
    <w:rsid w:val="00377F2A"/>
    <w:rsid w:val="00381A63"/>
    <w:rsid w:val="00381ED5"/>
    <w:rsid w:val="00384909"/>
    <w:rsid w:val="003955DB"/>
    <w:rsid w:val="003A2198"/>
    <w:rsid w:val="003A2C8B"/>
    <w:rsid w:val="003A330F"/>
    <w:rsid w:val="003A430D"/>
    <w:rsid w:val="003A53D5"/>
    <w:rsid w:val="003A7866"/>
    <w:rsid w:val="003B0139"/>
    <w:rsid w:val="003B148F"/>
    <w:rsid w:val="003B3868"/>
    <w:rsid w:val="003B574B"/>
    <w:rsid w:val="003C0E44"/>
    <w:rsid w:val="003C2510"/>
    <w:rsid w:val="003C5102"/>
    <w:rsid w:val="003C5E65"/>
    <w:rsid w:val="003C6475"/>
    <w:rsid w:val="003D0757"/>
    <w:rsid w:val="003D6254"/>
    <w:rsid w:val="003E575B"/>
    <w:rsid w:val="003E6994"/>
    <w:rsid w:val="003E7D66"/>
    <w:rsid w:val="003F0FE6"/>
    <w:rsid w:val="003F10CC"/>
    <w:rsid w:val="003F2E67"/>
    <w:rsid w:val="003F5740"/>
    <w:rsid w:val="003F6963"/>
    <w:rsid w:val="003F7296"/>
    <w:rsid w:val="0040454F"/>
    <w:rsid w:val="004071E9"/>
    <w:rsid w:val="00411674"/>
    <w:rsid w:val="00417D83"/>
    <w:rsid w:val="004202CE"/>
    <w:rsid w:val="004249BA"/>
    <w:rsid w:val="0042668C"/>
    <w:rsid w:val="004301D4"/>
    <w:rsid w:val="00430E12"/>
    <w:rsid w:val="004331EF"/>
    <w:rsid w:val="00434318"/>
    <w:rsid w:val="00436596"/>
    <w:rsid w:val="00437617"/>
    <w:rsid w:val="00437650"/>
    <w:rsid w:val="00437AD5"/>
    <w:rsid w:val="00440DFB"/>
    <w:rsid w:val="00440FF1"/>
    <w:rsid w:val="004425B5"/>
    <w:rsid w:val="00443996"/>
    <w:rsid w:val="00443FC3"/>
    <w:rsid w:val="00443FFE"/>
    <w:rsid w:val="00445352"/>
    <w:rsid w:val="004466AB"/>
    <w:rsid w:val="00446A83"/>
    <w:rsid w:val="00447351"/>
    <w:rsid w:val="004474FC"/>
    <w:rsid w:val="004523E5"/>
    <w:rsid w:val="00453B30"/>
    <w:rsid w:val="00454C06"/>
    <w:rsid w:val="00454E7A"/>
    <w:rsid w:val="00457A11"/>
    <w:rsid w:val="0046193E"/>
    <w:rsid w:val="004659BA"/>
    <w:rsid w:val="004662A4"/>
    <w:rsid w:val="00466366"/>
    <w:rsid w:val="0047094B"/>
    <w:rsid w:val="00471A2C"/>
    <w:rsid w:val="00475650"/>
    <w:rsid w:val="004830C3"/>
    <w:rsid w:val="00483EFA"/>
    <w:rsid w:val="00484788"/>
    <w:rsid w:val="00485C4A"/>
    <w:rsid w:val="00486FB9"/>
    <w:rsid w:val="00492E9E"/>
    <w:rsid w:val="00493D20"/>
    <w:rsid w:val="00495870"/>
    <w:rsid w:val="0049629F"/>
    <w:rsid w:val="00497AAA"/>
    <w:rsid w:val="004A422E"/>
    <w:rsid w:val="004A6321"/>
    <w:rsid w:val="004B479C"/>
    <w:rsid w:val="004B6765"/>
    <w:rsid w:val="004C14C8"/>
    <w:rsid w:val="004C43B8"/>
    <w:rsid w:val="004C47B7"/>
    <w:rsid w:val="004C5E3D"/>
    <w:rsid w:val="004C6E92"/>
    <w:rsid w:val="004C786A"/>
    <w:rsid w:val="004D1E79"/>
    <w:rsid w:val="004D50DE"/>
    <w:rsid w:val="004E2393"/>
    <w:rsid w:val="004E39AF"/>
    <w:rsid w:val="004E4310"/>
    <w:rsid w:val="004E4446"/>
    <w:rsid w:val="004E62F9"/>
    <w:rsid w:val="004E6714"/>
    <w:rsid w:val="004F2079"/>
    <w:rsid w:val="004F3039"/>
    <w:rsid w:val="004F3686"/>
    <w:rsid w:val="004F66A1"/>
    <w:rsid w:val="004F68D2"/>
    <w:rsid w:val="00501A4F"/>
    <w:rsid w:val="00503CF7"/>
    <w:rsid w:val="0050765B"/>
    <w:rsid w:val="00513883"/>
    <w:rsid w:val="005156E7"/>
    <w:rsid w:val="00515BE2"/>
    <w:rsid w:val="0051779F"/>
    <w:rsid w:val="00521664"/>
    <w:rsid w:val="005271FA"/>
    <w:rsid w:val="00532AC2"/>
    <w:rsid w:val="005401CE"/>
    <w:rsid w:val="00544A2E"/>
    <w:rsid w:val="00551369"/>
    <w:rsid w:val="00551764"/>
    <w:rsid w:val="005557B4"/>
    <w:rsid w:val="00555E10"/>
    <w:rsid w:val="00556C47"/>
    <w:rsid w:val="005662D5"/>
    <w:rsid w:val="00566F44"/>
    <w:rsid w:val="005670BF"/>
    <w:rsid w:val="00573969"/>
    <w:rsid w:val="005748DA"/>
    <w:rsid w:val="00576CE1"/>
    <w:rsid w:val="00580040"/>
    <w:rsid w:val="00582A44"/>
    <w:rsid w:val="005831C1"/>
    <w:rsid w:val="00585400"/>
    <w:rsid w:val="005931E1"/>
    <w:rsid w:val="00597192"/>
    <w:rsid w:val="00597CD8"/>
    <w:rsid w:val="00597F25"/>
    <w:rsid w:val="005A19E9"/>
    <w:rsid w:val="005A317E"/>
    <w:rsid w:val="005A502C"/>
    <w:rsid w:val="005A6E61"/>
    <w:rsid w:val="005A6ECD"/>
    <w:rsid w:val="005B061D"/>
    <w:rsid w:val="005B6338"/>
    <w:rsid w:val="005B68C0"/>
    <w:rsid w:val="005B6DFD"/>
    <w:rsid w:val="005C14F6"/>
    <w:rsid w:val="005C470B"/>
    <w:rsid w:val="005C6BCB"/>
    <w:rsid w:val="005D2B78"/>
    <w:rsid w:val="005D3D5E"/>
    <w:rsid w:val="005D40B6"/>
    <w:rsid w:val="005D5D1B"/>
    <w:rsid w:val="005D77CE"/>
    <w:rsid w:val="005D7DD3"/>
    <w:rsid w:val="005E053C"/>
    <w:rsid w:val="005E589F"/>
    <w:rsid w:val="005F5347"/>
    <w:rsid w:val="005F54F3"/>
    <w:rsid w:val="005F60C3"/>
    <w:rsid w:val="00600076"/>
    <w:rsid w:val="00603119"/>
    <w:rsid w:val="00603891"/>
    <w:rsid w:val="00604B4E"/>
    <w:rsid w:val="00604F53"/>
    <w:rsid w:val="00610883"/>
    <w:rsid w:val="006175C8"/>
    <w:rsid w:val="006228C7"/>
    <w:rsid w:val="0062391B"/>
    <w:rsid w:val="0062516D"/>
    <w:rsid w:val="00625244"/>
    <w:rsid w:val="0062580E"/>
    <w:rsid w:val="00630DFE"/>
    <w:rsid w:val="00632F81"/>
    <w:rsid w:val="00634039"/>
    <w:rsid w:val="00637280"/>
    <w:rsid w:val="00642A07"/>
    <w:rsid w:val="00642EAB"/>
    <w:rsid w:val="00645C29"/>
    <w:rsid w:val="006463EC"/>
    <w:rsid w:val="006510BB"/>
    <w:rsid w:val="006511CD"/>
    <w:rsid w:val="006536A9"/>
    <w:rsid w:val="00654A25"/>
    <w:rsid w:val="00657B2A"/>
    <w:rsid w:val="00660C7C"/>
    <w:rsid w:val="00662CA4"/>
    <w:rsid w:val="006631E0"/>
    <w:rsid w:val="0066480D"/>
    <w:rsid w:val="00664B8C"/>
    <w:rsid w:val="00664FFB"/>
    <w:rsid w:val="00667556"/>
    <w:rsid w:val="006855B9"/>
    <w:rsid w:val="00685BB2"/>
    <w:rsid w:val="0068714B"/>
    <w:rsid w:val="0069383B"/>
    <w:rsid w:val="006973CC"/>
    <w:rsid w:val="006A21E7"/>
    <w:rsid w:val="006A6256"/>
    <w:rsid w:val="006A7453"/>
    <w:rsid w:val="006B11E2"/>
    <w:rsid w:val="006B554B"/>
    <w:rsid w:val="006B5725"/>
    <w:rsid w:val="006C2338"/>
    <w:rsid w:val="006C31E2"/>
    <w:rsid w:val="006C49BB"/>
    <w:rsid w:val="006C4A2E"/>
    <w:rsid w:val="006D0D4D"/>
    <w:rsid w:val="006D1C7B"/>
    <w:rsid w:val="006D24DD"/>
    <w:rsid w:val="006D42C4"/>
    <w:rsid w:val="006D61AD"/>
    <w:rsid w:val="006D707F"/>
    <w:rsid w:val="006E0CEA"/>
    <w:rsid w:val="006E1627"/>
    <w:rsid w:val="006E1679"/>
    <w:rsid w:val="006E33F9"/>
    <w:rsid w:val="006E455C"/>
    <w:rsid w:val="006E475B"/>
    <w:rsid w:val="006E4B7B"/>
    <w:rsid w:val="006E7AA3"/>
    <w:rsid w:val="006F363C"/>
    <w:rsid w:val="006F38DF"/>
    <w:rsid w:val="006F4E6D"/>
    <w:rsid w:val="00701087"/>
    <w:rsid w:val="0070367E"/>
    <w:rsid w:val="00710466"/>
    <w:rsid w:val="00717422"/>
    <w:rsid w:val="007178B5"/>
    <w:rsid w:val="00720F18"/>
    <w:rsid w:val="00721A53"/>
    <w:rsid w:val="00725789"/>
    <w:rsid w:val="00725D07"/>
    <w:rsid w:val="00726695"/>
    <w:rsid w:val="00727929"/>
    <w:rsid w:val="007327B8"/>
    <w:rsid w:val="0073442B"/>
    <w:rsid w:val="00737A3A"/>
    <w:rsid w:val="00740277"/>
    <w:rsid w:val="007414BF"/>
    <w:rsid w:val="00742CA6"/>
    <w:rsid w:val="00746227"/>
    <w:rsid w:val="0074775F"/>
    <w:rsid w:val="0075077C"/>
    <w:rsid w:val="00755CBE"/>
    <w:rsid w:val="007574A5"/>
    <w:rsid w:val="00757EB0"/>
    <w:rsid w:val="00762B80"/>
    <w:rsid w:val="007636CC"/>
    <w:rsid w:val="00764205"/>
    <w:rsid w:val="00765BD4"/>
    <w:rsid w:val="00767D11"/>
    <w:rsid w:val="00770D57"/>
    <w:rsid w:val="00772037"/>
    <w:rsid w:val="00774072"/>
    <w:rsid w:val="00777277"/>
    <w:rsid w:val="00781A25"/>
    <w:rsid w:val="00790829"/>
    <w:rsid w:val="00795B4A"/>
    <w:rsid w:val="007A1C8C"/>
    <w:rsid w:val="007A408C"/>
    <w:rsid w:val="007A5665"/>
    <w:rsid w:val="007B4295"/>
    <w:rsid w:val="007B6F00"/>
    <w:rsid w:val="007C1C28"/>
    <w:rsid w:val="007C33FF"/>
    <w:rsid w:val="007C4B8D"/>
    <w:rsid w:val="007C6244"/>
    <w:rsid w:val="007C6559"/>
    <w:rsid w:val="007C7342"/>
    <w:rsid w:val="007D30BF"/>
    <w:rsid w:val="007D6DFB"/>
    <w:rsid w:val="007E0056"/>
    <w:rsid w:val="007E0A64"/>
    <w:rsid w:val="007E33B9"/>
    <w:rsid w:val="007F0A4C"/>
    <w:rsid w:val="007F1567"/>
    <w:rsid w:val="007F774B"/>
    <w:rsid w:val="0080005D"/>
    <w:rsid w:val="00802F8B"/>
    <w:rsid w:val="008032D7"/>
    <w:rsid w:val="00806300"/>
    <w:rsid w:val="00820D58"/>
    <w:rsid w:val="00832EE3"/>
    <w:rsid w:val="0083378A"/>
    <w:rsid w:val="00834F47"/>
    <w:rsid w:val="00836669"/>
    <w:rsid w:val="0084170F"/>
    <w:rsid w:val="00845307"/>
    <w:rsid w:val="008471B8"/>
    <w:rsid w:val="008473A2"/>
    <w:rsid w:val="00850BBA"/>
    <w:rsid w:val="00851DD7"/>
    <w:rsid w:val="00851E3E"/>
    <w:rsid w:val="0085293F"/>
    <w:rsid w:val="00854257"/>
    <w:rsid w:val="00861AAB"/>
    <w:rsid w:val="00866009"/>
    <w:rsid w:val="00866683"/>
    <w:rsid w:val="00870F6E"/>
    <w:rsid w:val="008765E5"/>
    <w:rsid w:val="00876CE5"/>
    <w:rsid w:val="00881A79"/>
    <w:rsid w:val="008820C7"/>
    <w:rsid w:val="008842E8"/>
    <w:rsid w:val="00886249"/>
    <w:rsid w:val="0088657F"/>
    <w:rsid w:val="00891BFD"/>
    <w:rsid w:val="008A265D"/>
    <w:rsid w:val="008A2BEB"/>
    <w:rsid w:val="008A3C69"/>
    <w:rsid w:val="008A6A3D"/>
    <w:rsid w:val="008B1F70"/>
    <w:rsid w:val="008C2668"/>
    <w:rsid w:val="008C2F1F"/>
    <w:rsid w:val="008D11F5"/>
    <w:rsid w:val="008D16C2"/>
    <w:rsid w:val="008D2D7F"/>
    <w:rsid w:val="008D2E38"/>
    <w:rsid w:val="008D448F"/>
    <w:rsid w:val="008D4C6E"/>
    <w:rsid w:val="008D7CA0"/>
    <w:rsid w:val="008E1FC8"/>
    <w:rsid w:val="008E2155"/>
    <w:rsid w:val="008E3386"/>
    <w:rsid w:val="008E4313"/>
    <w:rsid w:val="008E48F9"/>
    <w:rsid w:val="008E563E"/>
    <w:rsid w:val="008E5B69"/>
    <w:rsid w:val="008E68EA"/>
    <w:rsid w:val="008F297F"/>
    <w:rsid w:val="008F53A9"/>
    <w:rsid w:val="008F5733"/>
    <w:rsid w:val="008F79D9"/>
    <w:rsid w:val="008F7E77"/>
    <w:rsid w:val="00900A9A"/>
    <w:rsid w:val="00903669"/>
    <w:rsid w:val="00904891"/>
    <w:rsid w:val="00904C64"/>
    <w:rsid w:val="00910E08"/>
    <w:rsid w:val="0091184C"/>
    <w:rsid w:val="00914329"/>
    <w:rsid w:val="00914C75"/>
    <w:rsid w:val="00916A8A"/>
    <w:rsid w:val="00916BAE"/>
    <w:rsid w:val="0091790C"/>
    <w:rsid w:val="00920076"/>
    <w:rsid w:val="009226C0"/>
    <w:rsid w:val="0092372A"/>
    <w:rsid w:val="00930C52"/>
    <w:rsid w:val="009311AF"/>
    <w:rsid w:val="00931D8F"/>
    <w:rsid w:val="00940608"/>
    <w:rsid w:val="00940D54"/>
    <w:rsid w:val="009418B2"/>
    <w:rsid w:val="00942837"/>
    <w:rsid w:val="0094412F"/>
    <w:rsid w:val="009477AA"/>
    <w:rsid w:val="00947828"/>
    <w:rsid w:val="009528DC"/>
    <w:rsid w:val="00954DF7"/>
    <w:rsid w:val="00955AF7"/>
    <w:rsid w:val="0095628D"/>
    <w:rsid w:val="009572F0"/>
    <w:rsid w:val="009606A1"/>
    <w:rsid w:val="0096448B"/>
    <w:rsid w:val="00970337"/>
    <w:rsid w:val="009714A9"/>
    <w:rsid w:val="00972CDF"/>
    <w:rsid w:val="00975612"/>
    <w:rsid w:val="00977A72"/>
    <w:rsid w:val="0098244F"/>
    <w:rsid w:val="00984646"/>
    <w:rsid w:val="00984E3C"/>
    <w:rsid w:val="009925DF"/>
    <w:rsid w:val="009957FB"/>
    <w:rsid w:val="00996DBB"/>
    <w:rsid w:val="009A0309"/>
    <w:rsid w:val="009A22B2"/>
    <w:rsid w:val="009A63E3"/>
    <w:rsid w:val="009A7D6E"/>
    <w:rsid w:val="009B02A3"/>
    <w:rsid w:val="009B033C"/>
    <w:rsid w:val="009B075C"/>
    <w:rsid w:val="009B1A01"/>
    <w:rsid w:val="009B1F27"/>
    <w:rsid w:val="009B4354"/>
    <w:rsid w:val="009B6349"/>
    <w:rsid w:val="009C1946"/>
    <w:rsid w:val="009C30E8"/>
    <w:rsid w:val="009C6F7C"/>
    <w:rsid w:val="009C7BFC"/>
    <w:rsid w:val="009D059F"/>
    <w:rsid w:val="009D19D6"/>
    <w:rsid w:val="009D212D"/>
    <w:rsid w:val="009D5998"/>
    <w:rsid w:val="009E0D28"/>
    <w:rsid w:val="009E135C"/>
    <w:rsid w:val="009E1AC6"/>
    <w:rsid w:val="009E2A54"/>
    <w:rsid w:val="009E3B73"/>
    <w:rsid w:val="009E49AF"/>
    <w:rsid w:val="009E6092"/>
    <w:rsid w:val="009E686F"/>
    <w:rsid w:val="009E760C"/>
    <w:rsid w:val="009E7AD9"/>
    <w:rsid w:val="00A009B2"/>
    <w:rsid w:val="00A01EE0"/>
    <w:rsid w:val="00A03D5D"/>
    <w:rsid w:val="00A055DB"/>
    <w:rsid w:val="00A06AF0"/>
    <w:rsid w:val="00A1431D"/>
    <w:rsid w:val="00A203D7"/>
    <w:rsid w:val="00A24CDC"/>
    <w:rsid w:val="00A26A3D"/>
    <w:rsid w:val="00A37004"/>
    <w:rsid w:val="00A402B4"/>
    <w:rsid w:val="00A407C9"/>
    <w:rsid w:val="00A40944"/>
    <w:rsid w:val="00A4173D"/>
    <w:rsid w:val="00A4186A"/>
    <w:rsid w:val="00A42B3C"/>
    <w:rsid w:val="00A43E29"/>
    <w:rsid w:val="00A51267"/>
    <w:rsid w:val="00A6012F"/>
    <w:rsid w:val="00A615B6"/>
    <w:rsid w:val="00A669A5"/>
    <w:rsid w:val="00A66F25"/>
    <w:rsid w:val="00A675AF"/>
    <w:rsid w:val="00A716E8"/>
    <w:rsid w:val="00A734FF"/>
    <w:rsid w:val="00A74B36"/>
    <w:rsid w:val="00A75173"/>
    <w:rsid w:val="00A772C9"/>
    <w:rsid w:val="00A7768D"/>
    <w:rsid w:val="00A82475"/>
    <w:rsid w:val="00A852BA"/>
    <w:rsid w:val="00A85A04"/>
    <w:rsid w:val="00A91F44"/>
    <w:rsid w:val="00A97E51"/>
    <w:rsid w:val="00AA2743"/>
    <w:rsid w:val="00AA3DF4"/>
    <w:rsid w:val="00AA5252"/>
    <w:rsid w:val="00AA63C4"/>
    <w:rsid w:val="00AB0946"/>
    <w:rsid w:val="00AB3008"/>
    <w:rsid w:val="00AB5D7B"/>
    <w:rsid w:val="00AB7917"/>
    <w:rsid w:val="00AC12EC"/>
    <w:rsid w:val="00AC22CD"/>
    <w:rsid w:val="00AC323A"/>
    <w:rsid w:val="00AC58D4"/>
    <w:rsid w:val="00AD0562"/>
    <w:rsid w:val="00AD37F5"/>
    <w:rsid w:val="00AD56E2"/>
    <w:rsid w:val="00AD7647"/>
    <w:rsid w:val="00AD7768"/>
    <w:rsid w:val="00AE15E2"/>
    <w:rsid w:val="00AE1CFA"/>
    <w:rsid w:val="00AE2314"/>
    <w:rsid w:val="00AE4578"/>
    <w:rsid w:val="00AE6740"/>
    <w:rsid w:val="00AE75ED"/>
    <w:rsid w:val="00AE7C71"/>
    <w:rsid w:val="00AF22D9"/>
    <w:rsid w:val="00AF719E"/>
    <w:rsid w:val="00B02108"/>
    <w:rsid w:val="00B0226D"/>
    <w:rsid w:val="00B03CB9"/>
    <w:rsid w:val="00B05049"/>
    <w:rsid w:val="00B06010"/>
    <w:rsid w:val="00B06D0B"/>
    <w:rsid w:val="00B12B90"/>
    <w:rsid w:val="00B14139"/>
    <w:rsid w:val="00B145E6"/>
    <w:rsid w:val="00B14971"/>
    <w:rsid w:val="00B2362E"/>
    <w:rsid w:val="00B24460"/>
    <w:rsid w:val="00B25155"/>
    <w:rsid w:val="00B25A02"/>
    <w:rsid w:val="00B27546"/>
    <w:rsid w:val="00B30379"/>
    <w:rsid w:val="00B372EE"/>
    <w:rsid w:val="00B42AF4"/>
    <w:rsid w:val="00B44090"/>
    <w:rsid w:val="00B47C0A"/>
    <w:rsid w:val="00B5354C"/>
    <w:rsid w:val="00B53CB0"/>
    <w:rsid w:val="00B54D4D"/>
    <w:rsid w:val="00B5615D"/>
    <w:rsid w:val="00B571E2"/>
    <w:rsid w:val="00B67BFF"/>
    <w:rsid w:val="00B71E81"/>
    <w:rsid w:val="00B731EA"/>
    <w:rsid w:val="00B73E79"/>
    <w:rsid w:val="00B75C36"/>
    <w:rsid w:val="00B8312E"/>
    <w:rsid w:val="00B8323A"/>
    <w:rsid w:val="00B8414A"/>
    <w:rsid w:val="00B8701B"/>
    <w:rsid w:val="00B8751D"/>
    <w:rsid w:val="00B93F50"/>
    <w:rsid w:val="00B94DCC"/>
    <w:rsid w:val="00B954D8"/>
    <w:rsid w:val="00BA1BD3"/>
    <w:rsid w:val="00BA2F01"/>
    <w:rsid w:val="00BA379D"/>
    <w:rsid w:val="00BA4BA6"/>
    <w:rsid w:val="00BA5EAB"/>
    <w:rsid w:val="00BB0A94"/>
    <w:rsid w:val="00BB1283"/>
    <w:rsid w:val="00BB380A"/>
    <w:rsid w:val="00BB4FB0"/>
    <w:rsid w:val="00BB6143"/>
    <w:rsid w:val="00BB6ABD"/>
    <w:rsid w:val="00BC0813"/>
    <w:rsid w:val="00BC2C85"/>
    <w:rsid w:val="00BC40DF"/>
    <w:rsid w:val="00BC68C2"/>
    <w:rsid w:val="00BD10BB"/>
    <w:rsid w:val="00BD4DE4"/>
    <w:rsid w:val="00BD5580"/>
    <w:rsid w:val="00BD5AAE"/>
    <w:rsid w:val="00BE3936"/>
    <w:rsid w:val="00BE3E24"/>
    <w:rsid w:val="00BE5544"/>
    <w:rsid w:val="00BE6CDA"/>
    <w:rsid w:val="00BF3426"/>
    <w:rsid w:val="00BF3515"/>
    <w:rsid w:val="00BF50B1"/>
    <w:rsid w:val="00BF5E62"/>
    <w:rsid w:val="00BF7654"/>
    <w:rsid w:val="00C006F7"/>
    <w:rsid w:val="00C00950"/>
    <w:rsid w:val="00C00CD5"/>
    <w:rsid w:val="00C02D30"/>
    <w:rsid w:val="00C03C91"/>
    <w:rsid w:val="00C05E92"/>
    <w:rsid w:val="00C07877"/>
    <w:rsid w:val="00C10D5C"/>
    <w:rsid w:val="00C1464E"/>
    <w:rsid w:val="00C22811"/>
    <w:rsid w:val="00C23AF4"/>
    <w:rsid w:val="00C24E53"/>
    <w:rsid w:val="00C46A35"/>
    <w:rsid w:val="00C5408B"/>
    <w:rsid w:val="00C547FC"/>
    <w:rsid w:val="00C55CAA"/>
    <w:rsid w:val="00C628DF"/>
    <w:rsid w:val="00C62B0C"/>
    <w:rsid w:val="00C64C46"/>
    <w:rsid w:val="00C660A6"/>
    <w:rsid w:val="00C665C5"/>
    <w:rsid w:val="00C677FC"/>
    <w:rsid w:val="00C71846"/>
    <w:rsid w:val="00C7245C"/>
    <w:rsid w:val="00C72CBA"/>
    <w:rsid w:val="00C73842"/>
    <w:rsid w:val="00C766EA"/>
    <w:rsid w:val="00C77103"/>
    <w:rsid w:val="00C8129C"/>
    <w:rsid w:val="00C81837"/>
    <w:rsid w:val="00C84FA2"/>
    <w:rsid w:val="00C96092"/>
    <w:rsid w:val="00C962E4"/>
    <w:rsid w:val="00C972E5"/>
    <w:rsid w:val="00C9744A"/>
    <w:rsid w:val="00CA027B"/>
    <w:rsid w:val="00CA0429"/>
    <w:rsid w:val="00CA1345"/>
    <w:rsid w:val="00CA5CF0"/>
    <w:rsid w:val="00CB41E4"/>
    <w:rsid w:val="00CB56D6"/>
    <w:rsid w:val="00CB73AC"/>
    <w:rsid w:val="00CC683C"/>
    <w:rsid w:val="00CD22B3"/>
    <w:rsid w:val="00CD3566"/>
    <w:rsid w:val="00CD3B21"/>
    <w:rsid w:val="00CD4DDD"/>
    <w:rsid w:val="00CD7794"/>
    <w:rsid w:val="00CE249F"/>
    <w:rsid w:val="00CE37AD"/>
    <w:rsid w:val="00CF3532"/>
    <w:rsid w:val="00CF515F"/>
    <w:rsid w:val="00CF61AE"/>
    <w:rsid w:val="00D06F58"/>
    <w:rsid w:val="00D121A6"/>
    <w:rsid w:val="00D12DA8"/>
    <w:rsid w:val="00D12EDD"/>
    <w:rsid w:val="00D133C5"/>
    <w:rsid w:val="00D154E8"/>
    <w:rsid w:val="00D16982"/>
    <w:rsid w:val="00D20EDE"/>
    <w:rsid w:val="00D21DA1"/>
    <w:rsid w:val="00D23249"/>
    <w:rsid w:val="00D235BC"/>
    <w:rsid w:val="00D23EE0"/>
    <w:rsid w:val="00D25F5E"/>
    <w:rsid w:val="00D2655D"/>
    <w:rsid w:val="00D30B50"/>
    <w:rsid w:val="00D317D1"/>
    <w:rsid w:val="00D32CE3"/>
    <w:rsid w:val="00D32ED6"/>
    <w:rsid w:val="00D36621"/>
    <w:rsid w:val="00D36B2B"/>
    <w:rsid w:val="00D36FE2"/>
    <w:rsid w:val="00D371A1"/>
    <w:rsid w:val="00D37873"/>
    <w:rsid w:val="00D43314"/>
    <w:rsid w:val="00D461F5"/>
    <w:rsid w:val="00D46231"/>
    <w:rsid w:val="00D46E7A"/>
    <w:rsid w:val="00D477AC"/>
    <w:rsid w:val="00D5211E"/>
    <w:rsid w:val="00D534DC"/>
    <w:rsid w:val="00D53F51"/>
    <w:rsid w:val="00D54BF0"/>
    <w:rsid w:val="00D623E4"/>
    <w:rsid w:val="00D62776"/>
    <w:rsid w:val="00D636B2"/>
    <w:rsid w:val="00D66096"/>
    <w:rsid w:val="00D66756"/>
    <w:rsid w:val="00D7434F"/>
    <w:rsid w:val="00D75F04"/>
    <w:rsid w:val="00D766AD"/>
    <w:rsid w:val="00D818BD"/>
    <w:rsid w:val="00D8483C"/>
    <w:rsid w:val="00D85FC6"/>
    <w:rsid w:val="00D9230E"/>
    <w:rsid w:val="00D95466"/>
    <w:rsid w:val="00D95DD8"/>
    <w:rsid w:val="00D96553"/>
    <w:rsid w:val="00DA12E7"/>
    <w:rsid w:val="00DA1C46"/>
    <w:rsid w:val="00DA28D6"/>
    <w:rsid w:val="00DA4313"/>
    <w:rsid w:val="00DA7B0E"/>
    <w:rsid w:val="00DB02E4"/>
    <w:rsid w:val="00DB08B2"/>
    <w:rsid w:val="00DB09BE"/>
    <w:rsid w:val="00DB1F78"/>
    <w:rsid w:val="00DB39AF"/>
    <w:rsid w:val="00DB5C84"/>
    <w:rsid w:val="00DB6110"/>
    <w:rsid w:val="00DB71A7"/>
    <w:rsid w:val="00DB7439"/>
    <w:rsid w:val="00DC44A3"/>
    <w:rsid w:val="00DC4CE6"/>
    <w:rsid w:val="00DC6ABC"/>
    <w:rsid w:val="00DC7130"/>
    <w:rsid w:val="00DC7638"/>
    <w:rsid w:val="00DD6EA3"/>
    <w:rsid w:val="00DE27EB"/>
    <w:rsid w:val="00DE50E9"/>
    <w:rsid w:val="00DE7663"/>
    <w:rsid w:val="00E02F03"/>
    <w:rsid w:val="00E05FCE"/>
    <w:rsid w:val="00E06349"/>
    <w:rsid w:val="00E06861"/>
    <w:rsid w:val="00E0731A"/>
    <w:rsid w:val="00E117C8"/>
    <w:rsid w:val="00E14849"/>
    <w:rsid w:val="00E157A5"/>
    <w:rsid w:val="00E16F17"/>
    <w:rsid w:val="00E17884"/>
    <w:rsid w:val="00E20C89"/>
    <w:rsid w:val="00E24D25"/>
    <w:rsid w:val="00E267AC"/>
    <w:rsid w:val="00E2725B"/>
    <w:rsid w:val="00E302A8"/>
    <w:rsid w:val="00E31251"/>
    <w:rsid w:val="00E33ED0"/>
    <w:rsid w:val="00E3479E"/>
    <w:rsid w:val="00E3516B"/>
    <w:rsid w:val="00E35F4F"/>
    <w:rsid w:val="00E36E02"/>
    <w:rsid w:val="00E37061"/>
    <w:rsid w:val="00E42DA5"/>
    <w:rsid w:val="00E44C0C"/>
    <w:rsid w:val="00E4637D"/>
    <w:rsid w:val="00E51775"/>
    <w:rsid w:val="00E5389C"/>
    <w:rsid w:val="00E540AA"/>
    <w:rsid w:val="00E57788"/>
    <w:rsid w:val="00E61A38"/>
    <w:rsid w:val="00E627E3"/>
    <w:rsid w:val="00E632E9"/>
    <w:rsid w:val="00E662EA"/>
    <w:rsid w:val="00E66D52"/>
    <w:rsid w:val="00E66EC1"/>
    <w:rsid w:val="00E67ED1"/>
    <w:rsid w:val="00E7249E"/>
    <w:rsid w:val="00E730AF"/>
    <w:rsid w:val="00E73F1E"/>
    <w:rsid w:val="00E84269"/>
    <w:rsid w:val="00E8642F"/>
    <w:rsid w:val="00E86F26"/>
    <w:rsid w:val="00E90EDA"/>
    <w:rsid w:val="00E94C1E"/>
    <w:rsid w:val="00EA24B2"/>
    <w:rsid w:val="00EA26D3"/>
    <w:rsid w:val="00EA27B1"/>
    <w:rsid w:val="00EA2CA4"/>
    <w:rsid w:val="00EA4153"/>
    <w:rsid w:val="00EA5767"/>
    <w:rsid w:val="00EA7A52"/>
    <w:rsid w:val="00EB34B8"/>
    <w:rsid w:val="00EB47A8"/>
    <w:rsid w:val="00EB4901"/>
    <w:rsid w:val="00EB5251"/>
    <w:rsid w:val="00EC0136"/>
    <w:rsid w:val="00EC622B"/>
    <w:rsid w:val="00EC6E14"/>
    <w:rsid w:val="00EC7391"/>
    <w:rsid w:val="00ED0ABE"/>
    <w:rsid w:val="00EE317C"/>
    <w:rsid w:val="00EE37B0"/>
    <w:rsid w:val="00EE52B8"/>
    <w:rsid w:val="00EE6D35"/>
    <w:rsid w:val="00EF00FC"/>
    <w:rsid w:val="00EF4730"/>
    <w:rsid w:val="00EF5462"/>
    <w:rsid w:val="00EF5C54"/>
    <w:rsid w:val="00EF6547"/>
    <w:rsid w:val="00F00E66"/>
    <w:rsid w:val="00F01CC0"/>
    <w:rsid w:val="00F03AB2"/>
    <w:rsid w:val="00F04C29"/>
    <w:rsid w:val="00F05815"/>
    <w:rsid w:val="00F07248"/>
    <w:rsid w:val="00F079DA"/>
    <w:rsid w:val="00F101DA"/>
    <w:rsid w:val="00F133EE"/>
    <w:rsid w:val="00F21215"/>
    <w:rsid w:val="00F21D93"/>
    <w:rsid w:val="00F26AC8"/>
    <w:rsid w:val="00F32909"/>
    <w:rsid w:val="00F3771D"/>
    <w:rsid w:val="00F3789B"/>
    <w:rsid w:val="00F3794E"/>
    <w:rsid w:val="00F414EA"/>
    <w:rsid w:val="00F43FEB"/>
    <w:rsid w:val="00F44109"/>
    <w:rsid w:val="00F50B06"/>
    <w:rsid w:val="00F57896"/>
    <w:rsid w:val="00F60517"/>
    <w:rsid w:val="00F614C7"/>
    <w:rsid w:val="00F61AD5"/>
    <w:rsid w:val="00F630B0"/>
    <w:rsid w:val="00F6568B"/>
    <w:rsid w:val="00F726F8"/>
    <w:rsid w:val="00F765DA"/>
    <w:rsid w:val="00F76935"/>
    <w:rsid w:val="00F80C22"/>
    <w:rsid w:val="00F832C0"/>
    <w:rsid w:val="00F91A97"/>
    <w:rsid w:val="00F92123"/>
    <w:rsid w:val="00F93867"/>
    <w:rsid w:val="00F93931"/>
    <w:rsid w:val="00F96809"/>
    <w:rsid w:val="00F97C10"/>
    <w:rsid w:val="00FA238D"/>
    <w:rsid w:val="00FA2A20"/>
    <w:rsid w:val="00FA4181"/>
    <w:rsid w:val="00FA5A7A"/>
    <w:rsid w:val="00FB0478"/>
    <w:rsid w:val="00FB0E98"/>
    <w:rsid w:val="00FB183B"/>
    <w:rsid w:val="00FB38FC"/>
    <w:rsid w:val="00FD43AC"/>
    <w:rsid w:val="00FE0608"/>
    <w:rsid w:val="00FE0E81"/>
    <w:rsid w:val="00FE2D6C"/>
    <w:rsid w:val="00FE3F23"/>
    <w:rsid w:val="00FE65A7"/>
    <w:rsid w:val="00FF29F7"/>
    <w:rsid w:val="00FF3B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outlineLvl w:val="0"/>
    </w:pPr>
    <w:rPr>
      <w:b/>
      <w:sz w:val="24"/>
    </w:rPr>
  </w:style>
  <w:style w:type="paragraph" w:styleId="Heading2">
    <w:name w:val="heading 2"/>
    <w:basedOn w:val="Normal"/>
    <w:next w:val="Normal"/>
    <w:link w:val="Heading2Char1"/>
    <w:uiPriority w:val="99"/>
    <w:qFormat/>
    <w:pPr>
      <w:keepNext/>
      <w:jc w:val="center"/>
      <w:outlineLvl w:val="1"/>
    </w:pPr>
    <w:rPr>
      <w:b/>
      <w:sz w:val="24"/>
    </w:rPr>
  </w:style>
  <w:style w:type="paragraph" w:styleId="Heading3">
    <w:name w:val="heading 3"/>
    <w:basedOn w:val="Normal"/>
    <w:next w:val="Normal"/>
    <w:link w:val="Heading3Char"/>
    <w:uiPriority w:val="99"/>
    <w:qFormat/>
    <w:pPr>
      <w:keepNext/>
      <w:ind w:firstLine="2694"/>
      <w:jc w:val="center"/>
      <w:outlineLvl w:val="2"/>
    </w:pPr>
    <w:rPr>
      <w:b/>
      <w:sz w:val="24"/>
    </w:rPr>
  </w:style>
  <w:style w:type="paragraph" w:styleId="Heading4">
    <w:name w:val="heading 4"/>
    <w:basedOn w:val="Normal"/>
    <w:next w:val="Normal"/>
    <w:link w:val="Heading4Char"/>
    <w:uiPriority w:val="99"/>
    <w:qFormat/>
    <w:pPr>
      <w:keepNext/>
      <w:outlineLvl w:val="3"/>
    </w:pPr>
    <w:rPr>
      <w:b/>
      <w:color w:val="000000"/>
      <w:spacing w:val="-7"/>
      <w:sz w:val="23"/>
    </w:rPr>
  </w:style>
  <w:style w:type="paragraph" w:styleId="Heading9">
    <w:name w:val="heading 9"/>
    <w:basedOn w:val="Normal"/>
    <w:next w:val="Normal"/>
    <w:link w:val="Heading9Char1"/>
    <w:uiPriority w:val="99"/>
    <w:qFormat/>
    <w:pPr>
      <w:keepNext/>
      <w:shd w:val="clear" w:color="auto" w:fill="FFFFFF"/>
      <w:jc w:val="right"/>
      <w:outlineLvl w:val="8"/>
    </w:pPr>
    <w:rPr>
      <w:b/>
      <w:color w:val="000000"/>
      <w:spacing w:val="-7"/>
      <w:sz w:val="23"/>
    </w:rPr>
  </w:style>
  <w:style w:type="character" w:default="1" w:styleId="DefaultParagraphFont">
    <w:name w:val="Default Paragraph Font"/>
    <w:aliases w:val="Знак Знак2"/>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6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786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786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9786A"/>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uiPriority w:val="9"/>
    <w:semiHidden/>
    <w:rsid w:val="0049786A"/>
    <w:rPr>
      <w:rFonts w:asciiTheme="majorHAnsi" w:eastAsiaTheme="majorEastAsia" w:hAnsiTheme="majorHAnsi" w:cstheme="majorBidi"/>
    </w:rPr>
  </w:style>
  <w:style w:type="paragraph" w:styleId="BodyText">
    <w:name w:val="Body Text"/>
    <w:basedOn w:val="Normal"/>
    <w:link w:val="BodyTextChar1"/>
    <w:uiPriority w:val="99"/>
    <w:pPr>
      <w:jc w:val="center"/>
    </w:pPr>
    <w:rPr>
      <w:b/>
      <w:sz w:val="24"/>
    </w:rPr>
  </w:style>
  <w:style w:type="character" w:customStyle="1" w:styleId="BodyTextChar">
    <w:name w:val="Body Text Char"/>
    <w:basedOn w:val="DefaultParagraphFont"/>
    <w:link w:val="BodyText"/>
    <w:uiPriority w:val="99"/>
    <w:semiHidden/>
    <w:rsid w:val="0049786A"/>
    <w:rPr>
      <w:sz w:val="20"/>
      <w:szCs w:val="20"/>
    </w:rPr>
  </w:style>
  <w:style w:type="paragraph" w:styleId="Caption">
    <w:name w:val="caption"/>
    <w:basedOn w:val="Normal"/>
    <w:next w:val="Normal"/>
    <w:uiPriority w:val="99"/>
    <w:qFormat/>
    <w:pPr>
      <w:shd w:val="clear" w:color="auto" w:fill="FFFFFF"/>
    </w:pPr>
    <w:rPr>
      <w:b/>
      <w:color w:val="000000"/>
      <w:spacing w:val="-5"/>
      <w:sz w:val="23"/>
    </w:rPr>
  </w:style>
  <w:style w:type="paragraph" w:styleId="BalloonText">
    <w:name w:val="Balloon Text"/>
    <w:basedOn w:val="Normal"/>
    <w:link w:val="BalloonTextChar"/>
    <w:uiPriority w:val="99"/>
    <w:semiHidden/>
    <w:rsid w:val="00EF4730"/>
    <w:rPr>
      <w:rFonts w:ascii="Tahoma" w:hAnsi="Tahoma" w:cs="Tahoma"/>
      <w:sz w:val="16"/>
      <w:szCs w:val="16"/>
    </w:rPr>
  </w:style>
  <w:style w:type="character" w:customStyle="1" w:styleId="BalloonTextChar">
    <w:name w:val="Balloon Text Char"/>
    <w:basedOn w:val="DefaultParagraphFont"/>
    <w:link w:val="BalloonText"/>
    <w:uiPriority w:val="99"/>
    <w:semiHidden/>
    <w:rsid w:val="0049786A"/>
    <w:rPr>
      <w:sz w:val="0"/>
      <w:szCs w:val="0"/>
    </w:rPr>
  </w:style>
  <w:style w:type="paragraph" w:styleId="FootnoteText">
    <w:name w:val="footnote text"/>
    <w:basedOn w:val="Normal"/>
    <w:link w:val="FootnoteTextChar"/>
    <w:uiPriority w:val="99"/>
    <w:semiHidden/>
    <w:rsid w:val="00F93867"/>
    <w:rPr>
      <w:bCs/>
    </w:rPr>
  </w:style>
  <w:style w:type="character" w:customStyle="1" w:styleId="FootnoteTextChar">
    <w:name w:val="Footnote Text Char"/>
    <w:basedOn w:val="DefaultParagraphFont"/>
    <w:link w:val="FootnoteText"/>
    <w:uiPriority w:val="99"/>
    <w:semiHidden/>
    <w:rsid w:val="0049786A"/>
    <w:rPr>
      <w:sz w:val="20"/>
      <w:szCs w:val="20"/>
    </w:rPr>
  </w:style>
  <w:style w:type="character" w:styleId="FootnoteReference">
    <w:name w:val="footnote reference"/>
    <w:basedOn w:val="DefaultParagraphFont"/>
    <w:uiPriority w:val="99"/>
    <w:semiHidden/>
    <w:rsid w:val="00F93867"/>
    <w:rPr>
      <w:vertAlign w:val="superscript"/>
    </w:rPr>
  </w:style>
  <w:style w:type="paragraph" w:styleId="BodyTextIndent">
    <w:name w:val="Body Text Indent"/>
    <w:basedOn w:val="Normal"/>
    <w:link w:val="BodyTextIndentChar1"/>
    <w:uiPriority w:val="99"/>
    <w:rsid w:val="0030054A"/>
    <w:pPr>
      <w:spacing w:after="120"/>
      <w:ind w:left="283"/>
    </w:pPr>
  </w:style>
  <w:style w:type="character" w:customStyle="1" w:styleId="BodyTextIndentChar">
    <w:name w:val="Body Text Indent Char"/>
    <w:basedOn w:val="DefaultParagraphFont"/>
    <w:link w:val="BodyTextIndent"/>
    <w:uiPriority w:val="99"/>
    <w:semiHidden/>
    <w:rsid w:val="0049786A"/>
    <w:rPr>
      <w:sz w:val="20"/>
      <w:szCs w:val="20"/>
    </w:rPr>
  </w:style>
  <w:style w:type="paragraph" w:styleId="NormalWeb">
    <w:name w:val="Normal (Web)"/>
    <w:basedOn w:val="Normal"/>
    <w:uiPriority w:val="99"/>
    <w:rsid w:val="0030054A"/>
    <w:pPr>
      <w:spacing w:before="100" w:beforeAutospacing="1" w:after="100" w:afterAutospacing="1"/>
    </w:pPr>
    <w:rPr>
      <w:sz w:val="24"/>
      <w:szCs w:val="24"/>
    </w:rPr>
  </w:style>
  <w:style w:type="paragraph" w:styleId="Footer">
    <w:name w:val="footer"/>
    <w:basedOn w:val="Normal"/>
    <w:link w:val="FooterChar"/>
    <w:uiPriority w:val="99"/>
    <w:rsid w:val="008842E8"/>
    <w:pPr>
      <w:tabs>
        <w:tab w:val="center" w:pos="4677"/>
        <w:tab w:val="right" w:pos="9355"/>
      </w:tabs>
    </w:pPr>
  </w:style>
  <w:style w:type="character" w:customStyle="1" w:styleId="FooterChar">
    <w:name w:val="Footer Char"/>
    <w:basedOn w:val="DefaultParagraphFont"/>
    <w:link w:val="Footer"/>
    <w:uiPriority w:val="99"/>
    <w:semiHidden/>
    <w:rsid w:val="0049786A"/>
    <w:rPr>
      <w:sz w:val="20"/>
      <w:szCs w:val="20"/>
    </w:rPr>
  </w:style>
  <w:style w:type="character" w:styleId="PageNumber">
    <w:name w:val="page number"/>
    <w:basedOn w:val="DefaultParagraphFont"/>
    <w:uiPriority w:val="99"/>
    <w:rsid w:val="008842E8"/>
    <w:rPr>
      <w:rFonts w:cs="Times New Roman"/>
    </w:rPr>
  </w:style>
  <w:style w:type="paragraph" w:styleId="Header">
    <w:name w:val="header"/>
    <w:basedOn w:val="Normal"/>
    <w:link w:val="HeaderChar"/>
    <w:uiPriority w:val="99"/>
    <w:rsid w:val="00604B4E"/>
    <w:pPr>
      <w:tabs>
        <w:tab w:val="center" w:pos="4677"/>
        <w:tab w:val="right" w:pos="9355"/>
      </w:tabs>
    </w:pPr>
  </w:style>
  <w:style w:type="character" w:customStyle="1" w:styleId="HeaderChar">
    <w:name w:val="Header Char"/>
    <w:basedOn w:val="DefaultParagraphFont"/>
    <w:link w:val="Header"/>
    <w:uiPriority w:val="99"/>
    <w:semiHidden/>
    <w:rsid w:val="0049786A"/>
    <w:rPr>
      <w:sz w:val="20"/>
      <w:szCs w:val="20"/>
    </w:rPr>
  </w:style>
  <w:style w:type="character" w:styleId="Hyperlink">
    <w:name w:val="Hyperlink"/>
    <w:basedOn w:val="DefaultParagraphFont"/>
    <w:uiPriority w:val="99"/>
    <w:rsid w:val="00DB1F78"/>
    <w:rPr>
      <w:color w:val="0000FF"/>
      <w:u w:val="single"/>
    </w:rPr>
  </w:style>
  <w:style w:type="character" w:styleId="CommentReference">
    <w:name w:val="annotation reference"/>
    <w:basedOn w:val="DefaultParagraphFont"/>
    <w:uiPriority w:val="99"/>
    <w:semiHidden/>
    <w:rsid w:val="00FA2A20"/>
    <w:rPr>
      <w:sz w:val="16"/>
    </w:rPr>
  </w:style>
  <w:style w:type="paragraph" w:styleId="CommentText">
    <w:name w:val="annotation text"/>
    <w:basedOn w:val="Normal"/>
    <w:link w:val="CommentTextChar"/>
    <w:uiPriority w:val="99"/>
    <w:semiHidden/>
    <w:rsid w:val="00FA2A20"/>
  </w:style>
  <w:style w:type="character" w:customStyle="1" w:styleId="CommentTextChar">
    <w:name w:val="Comment Text Char"/>
    <w:basedOn w:val="DefaultParagraphFont"/>
    <w:link w:val="CommentText"/>
    <w:uiPriority w:val="99"/>
    <w:semiHidden/>
    <w:rsid w:val="0049786A"/>
    <w:rPr>
      <w:sz w:val="20"/>
      <w:szCs w:val="20"/>
    </w:rPr>
  </w:style>
  <w:style w:type="paragraph" w:styleId="CommentSubject">
    <w:name w:val="annotation subject"/>
    <w:basedOn w:val="CommentText"/>
    <w:next w:val="CommentText"/>
    <w:link w:val="CommentSubjectChar"/>
    <w:uiPriority w:val="99"/>
    <w:semiHidden/>
    <w:rsid w:val="00FA2A20"/>
    <w:rPr>
      <w:b/>
      <w:bCs/>
    </w:rPr>
  </w:style>
  <w:style w:type="character" w:customStyle="1" w:styleId="CommentSubjectChar">
    <w:name w:val="Comment Subject Char"/>
    <w:basedOn w:val="CommentTextChar"/>
    <w:link w:val="CommentSubject"/>
    <w:uiPriority w:val="99"/>
    <w:semiHidden/>
    <w:rsid w:val="0049786A"/>
    <w:rPr>
      <w:b/>
      <w:bCs/>
    </w:rPr>
  </w:style>
  <w:style w:type="paragraph" w:styleId="Title">
    <w:name w:val="Title"/>
    <w:basedOn w:val="Normal"/>
    <w:link w:val="TitleChar"/>
    <w:uiPriority w:val="99"/>
    <w:qFormat/>
    <w:rsid w:val="00B8312E"/>
    <w:pPr>
      <w:jc w:val="center"/>
    </w:pPr>
    <w:rPr>
      <w:b/>
      <w:sz w:val="26"/>
    </w:rPr>
  </w:style>
  <w:style w:type="character" w:customStyle="1" w:styleId="TitleChar">
    <w:name w:val="Title Char"/>
    <w:basedOn w:val="DefaultParagraphFont"/>
    <w:link w:val="Title"/>
    <w:uiPriority w:val="10"/>
    <w:rsid w:val="0049786A"/>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91184C"/>
    <w:pPr>
      <w:spacing w:after="120" w:line="480" w:lineRule="auto"/>
    </w:pPr>
  </w:style>
  <w:style w:type="character" w:customStyle="1" w:styleId="BodyText2Char">
    <w:name w:val="Body Text 2 Char"/>
    <w:basedOn w:val="DefaultParagraphFont"/>
    <w:link w:val="BodyText2"/>
    <w:uiPriority w:val="99"/>
    <w:semiHidden/>
    <w:rsid w:val="0049786A"/>
    <w:rPr>
      <w:sz w:val="20"/>
      <w:szCs w:val="20"/>
    </w:rPr>
  </w:style>
  <w:style w:type="paragraph" w:styleId="ListNumber">
    <w:name w:val="List Number"/>
    <w:basedOn w:val="Normal"/>
    <w:uiPriority w:val="99"/>
    <w:rsid w:val="0091184C"/>
    <w:pPr>
      <w:ind w:left="360" w:hanging="360"/>
    </w:pPr>
    <w:rPr>
      <w:sz w:val="24"/>
      <w:szCs w:val="24"/>
    </w:rPr>
  </w:style>
  <w:style w:type="character" w:customStyle="1" w:styleId="Heading2Char1">
    <w:name w:val="Heading 2 Char1"/>
    <w:link w:val="Heading2"/>
    <w:uiPriority w:val="99"/>
    <w:locked/>
    <w:rsid w:val="00497AAA"/>
    <w:rPr>
      <w:b/>
      <w:sz w:val="24"/>
      <w:lang w:val="ru-RU" w:eastAsia="ru-RU"/>
    </w:rPr>
  </w:style>
  <w:style w:type="character" w:customStyle="1" w:styleId="Heading9Char1">
    <w:name w:val="Heading 9 Char1"/>
    <w:link w:val="Heading9"/>
    <w:uiPriority w:val="99"/>
    <w:locked/>
    <w:rsid w:val="008B1F70"/>
    <w:rPr>
      <w:b/>
      <w:color w:val="000000"/>
      <w:spacing w:val="-7"/>
      <w:sz w:val="23"/>
      <w:lang w:val="ru-RU" w:eastAsia="ru-RU"/>
    </w:rPr>
  </w:style>
  <w:style w:type="character" w:customStyle="1" w:styleId="BodyTextChar1">
    <w:name w:val="Body Text Char1"/>
    <w:link w:val="BodyText"/>
    <w:uiPriority w:val="99"/>
    <w:locked/>
    <w:rsid w:val="00497AAA"/>
    <w:rPr>
      <w:b/>
      <w:sz w:val="24"/>
      <w:lang w:val="ru-RU" w:eastAsia="ru-RU"/>
    </w:rPr>
  </w:style>
  <w:style w:type="table" w:styleId="TableGrid">
    <w:name w:val="Table Grid"/>
    <w:basedOn w:val="TableNormal"/>
    <w:uiPriority w:val="99"/>
    <w:rsid w:val="00497AAA"/>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1">
    <w:name w:val="Body Text Indent Char1"/>
    <w:link w:val="BodyTextIndent"/>
    <w:uiPriority w:val="99"/>
    <w:locked/>
    <w:rsid w:val="00497AAA"/>
    <w:rPr>
      <w:lang w:val="ru-RU" w:eastAsia="ru-RU"/>
    </w:rPr>
  </w:style>
  <w:style w:type="paragraph" w:customStyle="1" w:styleId="Style">
    <w:name w:val="Style"/>
    <w:basedOn w:val="Normal"/>
    <w:uiPriority w:val="99"/>
    <w:rsid w:val="00D54BF0"/>
    <w:pPr>
      <w:spacing w:after="160" w:line="240" w:lineRule="exact"/>
    </w:pPr>
    <w:rPr>
      <w:rFonts w:ascii="Verdana" w:hAnsi="Verdana" w:cs="Verdana"/>
      <w:lang w:val="en-US" w:eastAsia="en-US"/>
    </w:rPr>
  </w:style>
  <w:style w:type="paragraph" w:styleId="List">
    <w:name w:val="List"/>
    <w:basedOn w:val="Normal"/>
    <w:uiPriority w:val="99"/>
    <w:rsid w:val="00323181"/>
    <w:pPr>
      <w:numPr>
        <w:numId w:val="9"/>
      </w:numPr>
      <w:jc w:val="both"/>
    </w:pPr>
    <w:rPr>
      <w:b/>
      <w:szCs w:val="24"/>
    </w:rPr>
  </w:style>
  <w:style w:type="paragraph" w:customStyle="1" w:styleId="1">
    <w:name w:val="Список 1: основной пункт раздела"/>
    <w:basedOn w:val="Normal"/>
    <w:uiPriority w:val="99"/>
    <w:rsid w:val="00323181"/>
    <w:pPr>
      <w:numPr>
        <w:ilvl w:val="1"/>
        <w:numId w:val="9"/>
      </w:numPr>
      <w:jc w:val="both"/>
    </w:pPr>
    <w:rPr>
      <w:szCs w:val="24"/>
    </w:rPr>
  </w:style>
  <w:style w:type="paragraph" w:customStyle="1" w:styleId="10">
    <w:name w:val="Список 1: пункт второго уровня"/>
    <w:basedOn w:val="Normal"/>
    <w:uiPriority w:val="99"/>
    <w:rsid w:val="00323181"/>
    <w:pPr>
      <w:numPr>
        <w:ilvl w:val="2"/>
        <w:numId w:val="9"/>
      </w:numPr>
      <w:jc w:val="both"/>
    </w:pPr>
    <w:rPr>
      <w:szCs w:val="24"/>
    </w:rPr>
  </w:style>
  <w:style w:type="numbering" w:customStyle="1" w:styleId="a">
    <w:name w:val="Трёхуровневый список"/>
    <w:rsid w:val="0049786A"/>
    <w:pPr>
      <w:numPr>
        <w:numId w:val="8"/>
      </w:numPr>
    </w:pPr>
  </w:style>
</w:styles>
</file>

<file path=word/webSettings.xml><?xml version="1.0" encoding="utf-8"?>
<w:webSettings xmlns:r="http://schemas.openxmlformats.org/officeDocument/2006/relationships" xmlns:w="http://schemas.openxmlformats.org/wordprocessingml/2006/main">
  <w:divs>
    <w:div w:id="1488980398">
      <w:marLeft w:val="0"/>
      <w:marRight w:val="0"/>
      <w:marTop w:val="0"/>
      <w:marBottom w:val="0"/>
      <w:divBdr>
        <w:top w:val="none" w:sz="0" w:space="0" w:color="auto"/>
        <w:left w:val="none" w:sz="0" w:space="0" w:color="auto"/>
        <w:bottom w:val="none" w:sz="0" w:space="0" w:color="auto"/>
        <w:right w:val="none" w:sz="0" w:space="0" w:color="auto"/>
      </w:divBdr>
    </w:div>
    <w:div w:id="1488980399">
      <w:marLeft w:val="0"/>
      <w:marRight w:val="0"/>
      <w:marTop w:val="0"/>
      <w:marBottom w:val="0"/>
      <w:divBdr>
        <w:top w:val="none" w:sz="0" w:space="0" w:color="auto"/>
        <w:left w:val="none" w:sz="0" w:space="0" w:color="auto"/>
        <w:bottom w:val="none" w:sz="0" w:space="0" w:color="auto"/>
        <w:right w:val="none" w:sz="0" w:space="0" w:color="auto"/>
      </w:divBdr>
    </w:div>
    <w:div w:id="1488980400">
      <w:marLeft w:val="0"/>
      <w:marRight w:val="0"/>
      <w:marTop w:val="0"/>
      <w:marBottom w:val="0"/>
      <w:divBdr>
        <w:top w:val="none" w:sz="0" w:space="0" w:color="auto"/>
        <w:left w:val="none" w:sz="0" w:space="0" w:color="auto"/>
        <w:bottom w:val="none" w:sz="0" w:space="0" w:color="auto"/>
        <w:right w:val="none" w:sz="0" w:space="0" w:color="auto"/>
      </w:divBdr>
    </w:div>
    <w:div w:id="1488980401">
      <w:marLeft w:val="0"/>
      <w:marRight w:val="0"/>
      <w:marTop w:val="0"/>
      <w:marBottom w:val="0"/>
      <w:divBdr>
        <w:top w:val="none" w:sz="0" w:space="0" w:color="auto"/>
        <w:left w:val="none" w:sz="0" w:space="0" w:color="auto"/>
        <w:bottom w:val="none" w:sz="0" w:space="0" w:color="auto"/>
        <w:right w:val="none" w:sz="0" w:space="0" w:color="auto"/>
      </w:divBdr>
    </w:div>
    <w:div w:id="1488980402">
      <w:marLeft w:val="0"/>
      <w:marRight w:val="0"/>
      <w:marTop w:val="0"/>
      <w:marBottom w:val="0"/>
      <w:divBdr>
        <w:top w:val="none" w:sz="0" w:space="0" w:color="auto"/>
        <w:left w:val="none" w:sz="0" w:space="0" w:color="auto"/>
        <w:bottom w:val="none" w:sz="0" w:space="0" w:color="auto"/>
        <w:right w:val="none" w:sz="0" w:space="0" w:color="auto"/>
      </w:divBdr>
    </w:div>
    <w:div w:id="1488980403">
      <w:marLeft w:val="0"/>
      <w:marRight w:val="0"/>
      <w:marTop w:val="0"/>
      <w:marBottom w:val="0"/>
      <w:divBdr>
        <w:top w:val="none" w:sz="0" w:space="0" w:color="auto"/>
        <w:left w:val="none" w:sz="0" w:space="0" w:color="auto"/>
        <w:bottom w:val="none" w:sz="0" w:space="0" w:color="auto"/>
        <w:right w:val="none" w:sz="0" w:space="0" w:color="auto"/>
      </w:divBdr>
    </w:div>
    <w:div w:id="1488980404">
      <w:marLeft w:val="0"/>
      <w:marRight w:val="0"/>
      <w:marTop w:val="0"/>
      <w:marBottom w:val="0"/>
      <w:divBdr>
        <w:top w:val="none" w:sz="0" w:space="0" w:color="auto"/>
        <w:left w:val="none" w:sz="0" w:space="0" w:color="auto"/>
        <w:bottom w:val="none" w:sz="0" w:space="0" w:color="auto"/>
        <w:right w:val="none" w:sz="0" w:space="0" w:color="auto"/>
      </w:divBdr>
    </w:div>
    <w:div w:id="1488980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1644</Words>
  <Characters>9375</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Dmitry Nekhoroshev</dc:creator>
  <cp:keywords/>
  <dc:description/>
  <cp:lastModifiedBy>pq-v</cp:lastModifiedBy>
  <cp:revision>2</cp:revision>
  <cp:lastPrinted>2014-07-07T23:35:00Z</cp:lastPrinted>
  <dcterms:created xsi:type="dcterms:W3CDTF">2025-05-04T14:32:00Z</dcterms:created>
  <dcterms:modified xsi:type="dcterms:W3CDTF">2025-05-04T14:32:00Z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