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10" w:rsidRPr="008651CE" w:rsidRDefault="006D4696" w:rsidP="006D4696">
      <w:pPr>
        <w:jc w:val="center"/>
        <w:rPr>
          <w:b/>
          <w:sz w:val="28"/>
          <w:szCs w:val="28"/>
        </w:rPr>
      </w:pPr>
      <w:r w:rsidRPr="008651CE">
        <w:rPr>
          <w:b/>
          <w:sz w:val="28"/>
          <w:szCs w:val="28"/>
        </w:rPr>
        <w:t>Раскрытие информации</w:t>
      </w:r>
      <w:r w:rsidR="008651CE" w:rsidRPr="008651CE">
        <w:rPr>
          <w:b/>
          <w:sz w:val="28"/>
          <w:szCs w:val="28"/>
        </w:rPr>
        <w:t xml:space="preserve"> </w:t>
      </w:r>
      <w:r w:rsidRPr="008651CE">
        <w:rPr>
          <w:b/>
          <w:sz w:val="28"/>
          <w:szCs w:val="28"/>
        </w:rPr>
        <w:br/>
        <w:t xml:space="preserve">гарантирующими поставщиками, </w:t>
      </w:r>
      <w:proofErr w:type="spellStart"/>
      <w:r w:rsidRPr="008651CE">
        <w:rPr>
          <w:b/>
          <w:sz w:val="28"/>
          <w:szCs w:val="28"/>
        </w:rPr>
        <w:t>энергоснабжающими</w:t>
      </w:r>
      <w:proofErr w:type="spellEnd"/>
      <w:r w:rsidRPr="008651CE">
        <w:rPr>
          <w:b/>
          <w:sz w:val="28"/>
          <w:szCs w:val="28"/>
        </w:rPr>
        <w:t xml:space="preserve"> и </w:t>
      </w:r>
      <w:proofErr w:type="spellStart"/>
      <w:r w:rsidRPr="008651CE">
        <w:rPr>
          <w:b/>
          <w:sz w:val="28"/>
          <w:szCs w:val="28"/>
        </w:rPr>
        <w:t>энергосбытовыми</w:t>
      </w:r>
      <w:proofErr w:type="spellEnd"/>
      <w:r w:rsidRPr="008651CE">
        <w:rPr>
          <w:b/>
          <w:sz w:val="28"/>
          <w:szCs w:val="28"/>
        </w:rPr>
        <w:t xml:space="preserve"> организациями </w:t>
      </w:r>
      <w:r w:rsidR="008651CE" w:rsidRPr="008651CE">
        <w:rPr>
          <w:b/>
          <w:sz w:val="28"/>
          <w:szCs w:val="28"/>
        </w:rPr>
        <w:br/>
      </w:r>
      <w:r w:rsidRPr="008651CE">
        <w:rPr>
          <w:b/>
          <w:sz w:val="28"/>
          <w:szCs w:val="28"/>
        </w:rPr>
        <w:t>об основных условиях договора энергоснабжения</w:t>
      </w:r>
    </w:p>
    <w:p w:rsidR="006D4696" w:rsidRDefault="006D4696" w:rsidP="00556978"/>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47"/>
        <w:gridCol w:w="3027"/>
        <w:gridCol w:w="11624"/>
      </w:tblGrid>
      <w:tr w:rsidR="00C27ECD" w:rsidRPr="006D4696" w:rsidTr="008651CE">
        <w:trPr>
          <w:trHeight w:val="20"/>
          <w:jc w:val="center"/>
        </w:trPr>
        <w:tc>
          <w:tcPr>
            <w:tcW w:w="590" w:type="dxa"/>
            <w:vMerge w:val="restart"/>
            <w:shd w:val="clear" w:color="auto" w:fill="auto"/>
            <w:textDirection w:val="btLr"/>
            <w:vAlign w:val="center"/>
            <w:hideMark/>
          </w:tcPr>
          <w:p w:rsidR="006D4696" w:rsidRPr="006D4696" w:rsidRDefault="006D4696" w:rsidP="008651CE">
            <w:pPr>
              <w:jc w:val="center"/>
              <w:rPr>
                <w:rFonts w:eastAsia="Times New Roman"/>
                <w:b/>
                <w:bCs/>
                <w:sz w:val="28"/>
                <w:szCs w:val="32"/>
                <w:lang w:eastAsia="ru-RU"/>
              </w:rPr>
            </w:pPr>
            <w:r w:rsidRPr="006D4696">
              <w:rPr>
                <w:rFonts w:eastAsia="Times New Roman"/>
                <w:b/>
                <w:bCs/>
                <w:sz w:val="28"/>
                <w:szCs w:val="32"/>
                <w:lang w:eastAsia="ru-RU"/>
              </w:rPr>
              <w:t>Основные условия</w:t>
            </w:r>
            <w:r w:rsidRPr="006D4696">
              <w:rPr>
                <w:rFonts w:ascii="Arial CYR" w:eastAsia="Times New Roman" w:hAnsi="Arial CYR" w:cs="Arial CYR"/>
                <w:b/>
                <w:bCs/>
                <w:sz w:val="28"/>
                <w:szCs w:val="32"/>
                <w:lang w:eastAsia="ru-RU"/>
              </w:rPr>
              <w:t xml:space="preserve"> </w:t>
            </w:r>
            <w:r w:rsidRPr="006D4696">
              <w:rPr>
                <w:rFonts w:eastAsia="Times New Roman"/>
                <w:b/>
                <w:bCs/>
                <w:sz w:val="28"/>
                <w:szCs w:val="32"/>
                <w:lang w:eastAsia="ru-RU"/>
              </w:rPr>
              <w:t>договора энергоснабжения</w:t>
            </w:r>
          </w:p>
        </w:tc>
        <w:tc>
          <w:tcPr>
            <w:tcW w:w="347" w:type="dxa"/>
            <w:shd w:val="clear" w:color="auto" w:fill="auto"/>
            <w:noWrap/>
            <w:vAlign w:val="center"/>
            <w:hideMark/>
          </w:tcPr>
          <w:p w:rsidR="00C27ECD" w:rsidRPr="006D4696" w:rsidRDefault="006D4696" w:rsidP="00C27ECD">
            <w:pPr>
              <w:jc w:val="center"/>
              <w:rPr>
                <w:rFonts w:eastAsia="Times New Roman"/>
                <w:b/>
                <w:bCs/>
                <w:lang w:eastAsia="ru-RU"/>
              </w:rPr>
            </w:pPr>
            <w:r w:rsidRPr="006D4696">
              <w:rPr>
                <w:rFonts w:eastAsia="Times New Roman"/>
                <w:b/>
                <w:bCs/>
                <w:lang w:eastAsia="ru-RU"/>
              </w:rPr>
              <w:t>1</w:t>
            </w:r>
          </w:p>
        </w:tc>
        <w:tc>
          <w:tcPr>
            <w:tcW w:w="3027" w:type="dxa"/>
            <w:shd w:val="clear" w:color="auto" w:fill="auto"/>
            <w:noWrap/>
            <w:vAlign w:val="center"/>
            <w:hideMark/>
          </w:tcPr>
          <w:p w:rsidR="006D4696" w:rsidRPr="006D4696" w:rsidRDefault="006D4696" w:rsidP="0010490A">
            <w:pPr>
              <w:jc w:val="center"/>
              <w:rPr>
                <w:rFonts w:eastAsia="Times New Roman"/>
                <w:b/>
                <w:bCs/>
                <w:sz w:val="23"/>
                <w:szCs w:val="23"/>
                <w:lang w:eastAsia="ru-RU"/>
              </w:rPr>
            </w:pPr>
            <w:r w:rsidRPr="006D4696">
              <w:rPr>
                <w:rFonts w:eastAsia="Times New Roman"/>
                <w:b/>
                <w:bCs/>
                <w:sz w:val="23"/>
                <w:szCs w:val="23"/>
                <w:lang w:eastAsia="ru-RU"/>
              </w:rPr>
              <w:t>Срок действия договора</w:t>
            </w:r>
          </w:p>
        </w:tc>
        <w:tc>
          <w:tcPr>
            <w:tcW w:w="11624" w:type="dxa"/>
            <w:shd w:val="clear" w:color="000000" w:fill="FFFFFF"/>
            <w:vAlign w:val="center"/>
            <w:hideMark/>
          </w:tcPr>
          <w:p w:rsidR="006D4696" w:rsidRPr="006D4696" w:rsidRDefault="006D4696" w:rsidP="00C27ECD">
            <w:pPr>
              <w:rPr>
                <w:rFonts w:eastAsia="Times New Roman"/>
                <w:sz w:val="20"/>
                <w:szCs w:val="20"/>
                <w:lang w:eastAsia="ru-RU"/>
              </w:rPr>
            </w:pPr>
            <w:r w:rsidRPr="006D4696">
              <w:rPr>
                <w:rFonts w:eastAsia="Times New Roman"/>
                <w:sz w:val="20"/>
                <w:szCs w:val="20"/>
                <w:lang w:eastAsia="ru-RU"/>
              </w:rPr>
              <w:t>1. Договор считается заключенным с момента его подписания Сторонами, распространяет свое действие на отношения Сторон, возникшие с ___ __________ 202_г. и действует по _</w:t>
            </w:r>
            <w:r w:rsidR="00C27ECD">
              <w:rPr>
                <w:rFonts w:eastAsia="Times New Roman"/>
                <w:sz w:val="20"/>
                <w:szCs w:val="20"/>
                <w:lang w:eastAsia="ru-RU"/>
              </w:rPr>
              <w:t>_</w:t>
            </w:r>
            <w:r w:rsidRPr="006D4696">
              <w:rPr>
                <w:rFonts w:eastAsia="Times New Roman"/>
                <w:sz w:val="20"/>
                <w:szCs w:val="20"/>
                <w:lang w:eastAsia="ru-RU"/>
              </w:rPr>
              <w:t>_ ________ 202_г. включительно, а в части принятых обязательств – до надлежащего их исполнения.</w:t>
            </w:r>
            <w:r w:rsidR="00C27ECD">
              <w:rPr>
                <w:rFonts w:eastAsia="Times New Roman"/>
                <w:sz w:val="20"/>
                <w:szCs w:val="20"/>
                <w:lang w:eastAsia="ru-RU"/>
              </w:rPr>
              <w:t xml:space="preserve"> </w:t>
            </w:r>
            <w:r w:rsidRPr="006D4696">
              <w:rPr>
                <w:rFonts w:eastAsia="Times New Roman"/>
                <w:sz w:val="20"/>
                <w:szCs w:val="20"/>
                <w:lang w:eastAsia="ru-RU"/>
              </w:rPr>
              <w:br/>
              <w:t>Договор считается продленным на очередной календарный год на тех же условиях, если ни одна из Сторон не менее чем за 30 дней до окончания срока действия Договора не заявит о его прекращении или изменении</w:t>
            </w:r>
            <w:r w:rsidR="00C27ECD">
              <w:rPr>
                <w:rFonts w:eastAsia="Times New Roman"/>
                <w:sz w:val="20"/>
                <w:szCs w:val="20"/>
                <w:lang w:eastAsia="ru-RU"/>
              </w:rPr>
              <w:t>,</w:t>
            </w:r>
            <w:r w:rsidRPr="006D4696">
              <w:rPr>
                <w:rFonts w:eastAsia="Times New Roman"/>
                <w:sz w:val="20"/>
                <w:szCs w:val="20"/>
                <w:lang w:eastAsia="ru-RU"/>
              </w:rPr>
              <w:t xml:space="preserve"> либ</w:t>
            </w:r>
            <w:r w:rsidR="00C27ECD">
              <w:rPr>
                <w:rFonts w:eastAsia="Times New Roman"/>
                <w:sz w:val="20"/>
                <w:szCs w:val="20"/>
                <w:lang w:eastAsia="ru-RU"/>
              </w:rPr>
              <w:t>о о заключении нового договора.</w:t>
            </w:r>
            <w:r w:rsidRPr="006D4696">
              <w:rPr>
                <w:rFonts w:eastAsia="Times New Roman"/>
                <w:sz w:val="20"/>
                <w:szCs w:val="20"/>
                <w:lang w:eastAsia="ru-RU"/>
              </w:rPr>
              <w:br/>
              <w:t>В части расчетов Договор считается действующим до полного исполнения сторонами обязательств.</w:t>
            </w:r>
            <w:r w:rsidR="00C27ECD">
              <w:rPr>
                <w:rFonts w:eastAsia="Times New Roman"/>
                <w:sz w:val="20"/>
                <w:szCs w:val="20"/>
                <w:lang w:eastAsia="ru-RU"/>
              </w:rPr>
              <w:t xml:space="preserve"> </w:t>
            </w:r>
            <w:r w:rsidR="00C27ECD">
              <w:rPr>
                <w:rFonts w:eastAsia="Times New Roman"/>
                <w:sz w:val="20"/>
                <w:szCs w:val="20"/>
                <w:lang w:eastAsia="ru-RU"/>
              </w:rPr>
              <w:br/>
            </w:r>
            <w:r w:rsidRPr="006D4696">
              <w:rPr>
                <w:rFonts w:eastAsia="Times New Roman"/>
                <w:sz w:val="20"/>
                <w:szCs w:val="20"/>
                <w:lang w:eastAsia="ru-RU"/>
              </w:rPr>
              <w:t>2. При наступлении даты расторжения договора, Гарантирующий поставщик прекращает поставку электрической энергии Покупателю. При расторжении договора по инициативе Покупателя последний производит расчет за потребленную электрическую энергию (мощность) не позднее, чем за 10 рабочих дней до заявляемой даты расторжения договора на основании счета, выставляемого Гарантирующим поставщиком.</w:t>
            </w:r>
            <w:r w:rsidRPr="006D4696">
              <w:rPr>
                <w:rFonts w:eastAsia="Times New Roman"/>
                <w:sz w:val="20"/>
                <w:szCs w:val="20"/>
                <w:lang w:eastAsia="ru-RU"/>
              </w:rPr>
              <w:br/>
              <w:t>3. Изменение отдельных условий договора оформляются в форме дополнительных соглашений, заключенных путем составления документа, подписанного уполномоченными представителями Сторон.</w:t>
            </w:r>
          </w:p>
        </w:tc>
      </w:tr>
      <w:tr w:rsidR="00C27ECD" w:rsidRPr="006D4696" w:rsidTr="008651CE">
        <w:trPr>
          <w:trHeight w:val="20"/>
          <w:jc w:val="center"/>
        </w:trPr>
        <w:tc>
          <w:tcPr>
            <w:tcW w:w="590" w:type="dxa"/>
            <w:vMerge/>
            <w:vAlign w:val="center"/>
            <w:hideMark/>
          </w:tcPr>
          <w:p w:rsidR="006D4696" w:rsidRPr="006D4696" w:rsidRDefault="006D4696" w:rsidP="008651CE">
            <w:pPr>
              <w:jc w:val="center"/>
              <w:rPr>
                <w:rFonts w:eastAsia="Times New Roman"/>
                <w:b/>
                <w:bCs/>
                <w:sz w:val="28"/>
                <w:szCs w:val="32"/>
                <w:lang w:eastAsia="ru-RU"/>
              </w:rPr>
            </w:pPr>
          </w:p>
        </w:tc>
        <w:tc>
          <w:tcPr>
            <w:tcW w:w="347" w:type="dxa"/>
            <w:shd w:val="clear" w:color="auto" w:fill="auto"/>
            <w:noWrap/>
            <w:vAlign w:val="center"/>
            <w:hideMark/>
          </w:tcPr>
          <w:p w:rsidR="006D4696" w:rsidRPr="006D4696" w:rsidRDefault="006D4696" w:rsidP="0010490A">
            <w:pPr>
              <w:jc w:val="center"/>
              <w:rPr>
                <w:rFonts w:eastAsia="Times New Roman"/>
                <w:b/>
                <w:bCs/>
                <w:lang w:eastAsia="ru-RU"/>
              </w:rPr>
            </w:pPr>
            <w:r w:rsidRPr="006D4696">
              <w:rPr>
                <w:rFonts w:eastAsia="Times New Roman"/>
                <w:b/>
                <w:bCs/>
                <w:lang w:eastAsia="ru-RU"/>
              </w:rPr>
              <w:t>2</w:t>
            </w:r>
          </w:p>
        </w:tc>
        <w:tc>
          <w:tcPr>
            <w:tcW w:w="3027" w:type="dxa"/>
            <w:shd w:val="clear" w:color="auto" w:fill="auto"/>
            <w:vAlign w:val="center"/>
            <w:hideMark/>
          </w:tcPr>
          <w:p w:rsidR="006D4696" w:rsidRPr="006D4696" w:rsidRDefault="006D4696" w:rsidP="00C27ECD">
            <w:pPr>
              <w:jc w:val="center"/>
              <w:rPr>
                <w:rFonts w:eastAsia="Times New Roman"/>
                <w:b/>
                <w:bCs/>
                <w:sz w:val="23"/>
                <w:szCs w:val="23"/>
                <w:lang w:eastAsia="ru-RU"/>
              </w:rPr>
            </w:pPr>
            <w:r w:rsidRPr="006D4696">
              <w:rPr>
                <w:rFonts w:eastAsia="Times New Roman"/>
                <w:b/>
                <w:bCs/>
                <w:sz w:val="23"/>
                <w:szCs w:val="23"/>
                <w:lang w:eastAsia="ru-RU"/>
              </w:rPr>
              <w:t>Ви</w:t>
            </w:r>
            <w:r w:rsidR="00C27ECD" w:rsidRPr="00C27ECD">
              <w:rPr>
                <w:rFonts w:eastAsia="Times New Roman"/>
                <w:b/>
                <w:bCs/>
                <w:sz w:val="23"/>
                <w:szCs w:val="23"/>
                <w:lang w:eastAsia="ru-RU"/>
              </w:rPr>
              <w:t>д цены на электрическую энергию</w:t>
            </w:r>
          </w:p>
        </w:tc>
        <w:tc>
          <w:tcPr>
            <w:tcW w:w="11624" w:type="dxa"/>
            <w:shd w:val="clear" w:color="000000" w:fill="FFFFFF"/>
            <w:vAlign w:val="center"/>
            <w:hideMark/>
          </w:tcPr>
          <w:p w:rsidR="006D4696" w:rsidRPr="006D4696" w:rsidRDefault="006D4696" w:rsidP="00C27ECD">
            <w:pPr>
              <w:rPr>
                <w:rFonts w:eastAsia="Times New Roman"/>
                <w:sz w:val="20"/>
                <w:szCs w:val="20"/>
                <w:lang w:eastAsia="ru-RU"/>
              </w:rPr>
            </w:pPr>
            <w:r w:rsidRPr="006D4696">
              <w:rPr>
                <w:rFonts w:eastAsia="Times New Roman"/>
                <w:sz w:val="20"/>
                <w:szCs w:val="20"/>
                <w:lang w:eastAsia="ru-RU"/>
              </w:rPr>
              <w:t>Стоимость (цена) поставленной электрической энергии (мощности) определяется в соответствии с порядком, определенным действующим законодательством Российской Федерации с учетом действующих тарифов на электрическую энергию, установленных органом исполнительной власти субъекта Российской Федерации в области государственного регулирования тарифов (Приказ Региональной энергетической комиссии Сахалинской области).</w:t>
            </w:r>
          </w:p>
        </w:tc>
      </w:tr>
      <w:tr w:rsidR="00C27ECD" w:rsidRPr="006D4696" w:rsidTr="008651CE">
        <w:trPr>
          <w:trHeight w:val="20"/>
          <w:jc w:val="center"/>
        </w:trPr>
        <w:tc>
          <w:tcPr>
            <w:tcW w:w="590" w:type="dxa"/>
            <w:vMerge/>
            <w:vAlign w:val="center"/>
            <w:hideMark/>
          </w:tcPr>
          <w:p w:rsidR="006D4696" w:rsidRPr="006D4696" w:rsidRDefault="006D4696" w:rsidP="008651CE">
            <w:pPr>
              <w:jc w:val="center"/>
              <w:rPr>
                <w:rFonts w:eastAsia="Times New Roman"/>
                <w:b/>
                <w:bCs/>
                <w:sz w:val="28"/>
                <w:szCs w:val="32"/>
                <w:lang w:eastAsia="ru-RU"/>
              </w:rPr>
            </w:pPr>
          </w:p>
        </w:tc>
        <w:tc>
          <w:tcPr>
            <w:tcW w:w="347" w:type="dxa"/>
            <w:shd w:val="clear" w:color="auto" w:fill="auto"/>
            <w:noWrap/>
            <w:vAlign w:val="center"/>
            <w:hideMark/>
          </w:tcPr>
          <w:p w:rsidR="006D4696" w:rsidRPr="006D4696" w:rsidRDefault="006D4696" w:rsidP="0010490A">
            <w:pPr>
              <w:jc w:val="center"/>
              <w:rPr>
                <w:rFonts w:eastAsia="Times New Roman"/>
                <w:b/>
                <w:bCs/>
                <w:lang w:eastAsia="ru-RU"/>
              </w:rPr>
            </w:pPr>
            <w:r w:rsidRPr="006D4696">
              <w:rPr>
                <w:rFonts w:eastAsia="Times New Roman"/>
                <w:b/>
                <w:bCs/>
                <w:lang w:eastAsia="ru-RU"/>
              </w:rPr>
              <w:t>3</w:t>
            </w:r>
          </w:p>
        </w:tc>
        <w:tc>
          <w:tcPr>
            <w:tcW w:w="3027" w:type="dxa"/>
            <w:shd w:val="clear" w:color="auto" w:fill="auto"/>
            <w:noWrap/>
            <w:vAlign w:val="center"/>
            <w:hideMark/>
          </w:tcPr>
          <w:p w:rsidR="006D4696" w:rsidRPr="006D4696" w:rsidRDefault="006D4696" w:rsidP="0010490A">
            <w:pPr>
              <w:jc w:val="center"/>
              <w:rPr>
                <w:rFonts w:eastAsia="Times New Roman"/>
                <w:b/>
                <w:bCs/>
                <w:sz w:val="23"/>
                <w:szCs w:val="23"/>
                <w:lang w:eastAsia="ru-RU"/>
              </w:rPr>
            </w:pPr>
            <w:r w:rsidRPr="006D4696">
              <w:rPr>
                <w:rFonts w:eastAsia="Times New Roman"/>
                <w:b/>
                <w:bCs/>
                <w:sz w:val="23"/>
                <w:szCs w:val="23"/>
                <w:lang w:eastAsia="ru-RU"/>
              </w:rPr>
              <w:t>Форма оплаты</w:t>
            </w:r>
          </w:p>
        </w:tc>
        <w:tc>
          <w:tcPr>
            <w:tcW w:w="11624" w:type="dxa"/>
            <w:shd w:val="clear" w:color="000000" w:fill="FFFFFF"/>
            <w:vAlign w:val="center"/>
            <w:hideMark/>
          </w:tcPr>
          <w:p w:rsidR="006D4696" w:rsidRPr="006D4696" w:rsidRDefault="006D4696" w:rsidP="00C27ECD">
            <w:pPr>
              <w:rPr>
                <w:rFonts w:eastAsia="Times New Roman"/>
                <w:sz w:val="20"/>
                <w:szCs w:val="20"/>
                <w:lang w:eastAsia="ru-RU"/>
              </w:rPr>
            </w:pPr>
            <w:r w:rsidRPr="006D4696">
              <w:rPr>
                <w:rFonts w:eastAsia="Times New Roman"/>
                <w:sz w:val="20"/>
                <w:szCs w:val="20"/>
                <w:lang w:eastAsia="ru-RU"/>
              </w:rPr>
              <w:t>Наличный и безналичный расчет в валюте РФ.</w:t>
            </w:r>
          </w:p>
        </w:tc>
      </w:tr>
      <w:tr w:rsidR="00C27ECD" w:rsidRPr="006D4696" w:rsidTr="008651CE">
        <w:trPr>
          <w:trHeight w:val="20"/>
          <w:jc w:val="center"/>
        </w:trPr>
        <w:tc>
          <w:tcPr>
            <w:tcW w:w="590" w:type="dxa"/>
            <w:vMerge/>
            <w:vAlign w:val="center"/>
            <w:hideMark/>
          </w:tcPr>
          <w:p w:rsidR="006D4696" w:rsidRPr="006D4696" w:rsidRDefault="006D4696" w:rsidP="008651CE">
            <w:pPr>
              <w:jc w:val="center"/>
              <w:rPr>
                <w:rFonts w:eastAsia="Times New Roman"/>
                <w:b/>
                <w:bCs/>
                <w:sz w:val="28"/>
                <w:szCs w:val="32"/>
                <w:lang w:eastAsia="ru-RU"/>
              </w:rPr>
            </w:pPr>
          </w:p>
        </w:tc>
        <w:tc>
          <w:tcPr>
            <w:tcW w:w="347" w:type="dxa"/>
            <w:shd w:val="clear" w:color="auto" w:fill="auto"/>
            <w:noWrap/>
            <w:vAlign w:val="center"/>
            <w:hideMark/>
          </w:tcPr>
          <w:p w:rsidR="006D4696" w:rsidRPr="006D4696" w:rsidRDefault="006D4696" w:rsidP="0010490A">
            <w:pPr>
              <w:jc w:val="center"/>
              <w:rPr>
                <w:rFonts w:eastAsia="Times New Roman"/>
                <w:b/>
                <w:bCs/>
                <w:lang w:eastAsia="ru-RU"/>
              </w:rPr>
            </w:pPr>
            <w:r w:rsidRPr="006D4696">
              <w:rPr>
                <w:rFonts w:eastAsia="Times New Roman"/>
                <w:b/>
                <w:bCs/>
                <w:lang w:eastAsia="ru-RU"/>
              </w:rPr>
              <w:t>4</w:t>
            </w:r>
          </w:p>
        </w:tc>
        <w:tc>
          <w:tcPr>
            <w:tcW w:w="3027" w:type="dxa"/>
            <w:shd w:val="clear" w:color="auto" w:fill="auto"/>
            <w:vAlign w:val="center"/>
            <w:hideMark/>
          </w:tcPr>
          <w:p w:rsidR="006D4696" w:rsidRPr="006D4696" w:rsidRDefault="006D4696" w:rsidP="0010490A">
            <w:pPr>
              <w:jc w:val="center"/>
              <w:rPr>
                <w:rFonts w:eastAsia="Times New Roman"/>
                <w:b/>
                <w:bCs/>
                <w:sz w:val="23"/>
                <w:szCs w:val="23"/>
                <w:lang w:eastAsia="ru-RU"/>
              </w:rPr>
            </w:pPr>
            <w:r w:rsidRPr="006D4696">
              <w:rPr>
                <w:rFonts w:eastAsia="Times New Roman"/>
                <w:b/>
                <w:bCs/>
                <w:sz w:val="23"/>
                <w:szCs w:val="23"/>
                <w:lang w:eastAsia="ru-RU"/>
              </w:rPr>
              <w:t>Форма обеспечения исполнен</w:t>
            </w:r>
            <w:bookmarkStart w:id="0" w:name="_GoBack"/>
            <w:bookmarkEnd w:id="0"/>
            <w:r w:rsidRPr="006D4696">
              <w:rPr>
                <w:rFonts w:eastAsia="Times New Roman"/>
                <w:b/>
                <w:bCs/>
                <w:sz w:val="23"/>
                <w:szCs w:val="23"/>
                <w:lang w:eastAsia="ru-RU"/>
              </w:rPr>
              <w:t>ия обязательств сторон по договору</w:t>
            </w:r>
          </w:p>
        </w:tc>
        <w:tc>
          <w:tcPr>
            <w:tcW w:w="11624" w:type="dxa"/>
            <w:shd w:val="clear" w:color="000000" w:fill="FFFFFF"/>
            <w:vAlign w:val="center"/>
            <w:hideMark/>
          </w:tcPr>
          <w:p w:rsidR="006D4696" w:rsidRPr="006D4696" w:rsidRDefault="006D4696" w:rsidP="00C27ECD">
            <w:pPr>
              <w:rPr>
                <w:rFonts w:eastAsia="Times New Roman"/>
                <w:sz w:val="20"/>
                <w:szCs w:val="20"/>
                <w:lang w:eastAsia="ru-RU"/>
              </w:rPr>
            </w:pPr>
            <w:r w:rsidRPr="006D4696">
              <w:rPr>
                <w:rFonts w:eastAsia="Times New Roman"/>
                <w:sz w:val="20"/>
                <w:szCs w:val="20"/>
                <w:lang w:eastAsia="ru-RU"/>
              </w:rPr>
              <w:t>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(мощности) Потребителю, а Потребитель обязуется оплачивать приобретаемую электрическую энергию (мощность) и оказанные услуги.</w:t>
            </w:r>
          </w:p>
        </w:tc>
      </w:tr>
      <w:tr w:rsidR="00C27ECD" w:rsidRPr="006D4696" w:rsidTr="008651CE">
        <w:trPr>
          <w:trHeight w:val="20"/>
          <w:jc w:val="center"/>
        </w:trPr>
        <w:tc>
          <w:tcPr>
            <w:tcW w:w="590" w:type="dxa"/>
            <w:vMerge/>
            <w:vAlign w:val="center"/>
            <w:hideMark/>
          </w:tcPr>
          <w:p w:rsidR="006D4696" w:rsidRPr="006D4696" w:rsidRDefault="006D4696" w:rsidP="008651CE">
            <w:pPr>
              <w:jc w:val="center"/>
              <w:rPr>
                <w:rFonts w:eastAsia="Times New Roman"/>
                <w:b/>
                <w:bCs/>
                <w:sz w:val="28"/>
                <w:szCs w:val="32"/>
                <w:lang w:eastAsia="ru-RU"/>
              </w:rPr>
            </w:pPr>
          </w:p>
        </w:tc>
        <w:tc>
          <w:tcPr>
            <w:tcW w:w="347" w:type="dxa"/>
            <w:shd w:val="clear" w:color="auto" w:fill="auto"/>
            <w:noWrap/>
            <w:vAlign w:val="center"/>
            <w:hideMark/>
          </w:tcPr>
          <w:p w:rsidR="006D4696" w:rsidRPr="006D4696" w:rsidRDefault="006D4696" w:rsidP="0010490A">
            <w:pPr>
              <w:jc w:val="center"/>
              <w:rPr>
                <w:rFonts w:eastAsia="Times New Roman"/>
                <w:b/>
                <w:bCs/>
                <w:lang w:eastAsia="ru-RU"/>
              </w:rPr>
            </w:pPr>
            <w:r w:rsidRPr="006D4696">
              <w:rPr>
                <w:rFonts w:eastAsia="Times New Roman"/>
                <w:b/>
                <w:bCs/>
                <w:lang w:eastAsia="ru-RU"/>
              </w:rPr>
              <w:t>5</w:t>
            </w:r>
          </w:p>
        </w:tc>
        <w:tc>
          <w:tcPr>
            <w:tcW w:w="3027" w:type="dxa"/>
            <w:shd w:val="clear" w:color="auto" w:fill="auto"/>
            <w:noWrap/>
            <w:vAlign w:val="center"/>
            <w:hideMark/>
          </w:tcPr>
          <w:p w:rsidR="006D4696" w:rsidRPr="006D4696" w:rsidRDefault="006D4696" w:rsidP="0010490A">
            <w:pPr>
              <w:jc w:val="center"/>
              <w:rPr>
                <w:rFonts w:eastAsia="Times New Roman"/>
                <w:b/>
                <w:bCs/>
                <w:sz w:val="23"/>
                <w:szCs w:val="23"/>
                <w:lang w:eastAsia="ru-RU"/>
              </w:rPr>
            </w:pPr>
            <w:r w:rsidRPr="006D4696">
              <w:rPr>
                <w:rFonts w:eastAsia="Times New Roman"/>
                <w:b/>
                <w:bCs/>
                <w:sz w:val="23"/>
                <w:szCs w:val="23"/>
                <w:lang w:eastAsia="ru-RU"/>
              </w:rPr>
              <w:t>Зона обслуживания</w:t>
            </w:r>
          </w:p>
        </w:tc>
        <w:tc>
          <w:tcPr>
            <w:tcW w:w="11624" w:type="dxa"/>
            <w:shd w:val="clear" w:color="000000" w:fill="FFFFFF"/>
            <w:vAlign w:val="center"/>
            <w:hideMark/>
          </w:tcPr>
          <w:p w:rsidR="006D4696" w:rsidRPr="006D4696" w:rsidRDefault="006D4696" w:rsidP="00C27ECD">
            <w:pPr>
              <w:rPr>
                <w:rFonts w:eastAsia="Times New Roman"/>
                <w:sz w:val="20"/>
                <w:szCs w:val="20"/>
                <w:lang w:eastAsia="ru-RU"/>
              </w:rPr>
            </w:pPr>
            <w:r w:rsidRPr="006D4696">
              <w:rPr>
                <w:rFonts w:eastAsia="Times New Roman"/>
                <w:sz w:val="20"/>
                <w:szCs w:val="20"/>
                <w:lang w:eastAsia="ru-RU"/>
              </w:rPr>
              <w:t>Поставить Потребителю электрическую энергию (мощность) до точек поставки, соответствующих границам раздела между Гарантирующим поставщиком (Сетевой организацией, индивидуальным владельцем сетей) и Потребителем, определенных Актами разграничения балансовой принадлежности и эксплуатационной ответственности Сторон.</w:t>
            </w:r>
          </w:p>
        </w:tc>
      </w:tr>
      <w:tr w:rsidR="00C27ECD" w:rsidRPr="006D4696" w:rsidTr="008651CE">
        <w:trPr>
          <w:trHeight w:val="20"/>
          <w:jc w:val="center"/>
        </w:trPr>
        <w:tc>
          <w:tcPr>
            <w:tcW w:w="590" w:type="dxa"/>
            <w:vMerge/>
            <w:vAlign w:val="center"/>
            <w:hideMark/>
          </w:tcPr>
          <w:p w:rsidR="006D4696" w:rsidRPr="006D4696" w:rsidRDefault="006D4696" w:rsidP="008651CE">
            <w:pPr>
              <w:jc w:val="center"/>
              <w:rPr>
                <w:rFonts w:eastAsia="Times New Roman"/>
                <w:b/>
                <w:bCs/>
                <w:sz w:val="28"/>
                <w:szCs w:val="32"/>
                <w:lang w:eastAsia="ru-RU"/>
              </w:rPr>
            </w:pPr>
          </w:p>
        </w:tc>
        <w:tc>
          <w:tcPr>
            <w:tcW w:w="347" w:type="dxa"/>
            <w:shd w:val="clear" w:color="auto" w:fill="auto"/>
            <w:noWrap/>
            <w:vAlign w:val="center"/>
            <w:hideMark/>
          </w:tcPr>
          <w:p w:rsidR="006D4696" w:rsidRPr="006D4696" w:rsidRDefault="006D4696" w:rsidP="0010490A">
            <w:pPr>
              <w:jc w:val="center"/>
              <w:rPr>
                <w:rFonts w:eastAsia="Times New Roman"/>
                <w:b/>
                <w:bCs/>
                <w:lang w:eastAsia="ru-RU"/>
              </w:rPr>
            </w:pPr>
            <w:r w:rsidRPr="006D4696">
              <w:rPr>
                <w:rFonts w:eastAsia="Times New Roman"/>
                <w:b/>
                <w:bCs/>
                <w:lang w:eastAsia="ru-RU"/>
              </w:rPr>
              <w:t>6</w:t>
            </w:r>
          </w:p>
        </w:tc>
        <w:tc>
          <w:tcPr>
            <w:tcW w:w="3027" w:type="dxa"/>
            <w:shd w:val="clear" w:color="auto" w:fill="auto"/>
            <w:vAlign w:val="center"/>
            <w:hideMark/>
          </w:tcPr>
          <w:p w:rsidR="006D4696" w:rsidRPr="006D4696" w:rsidRDefault="006D4696" w:rsidP="0010490A">
            <w:pPr>
              <w:jc w:val="center"/>
              <w:rPr>
                <w:rFonts w:eastAsia="Times New Roman"/>
                <w:b/>
                <w:bCs/>
                <w:sz w:val="23"/>
                <w:szCs w:val="23"/>
                <w:lang w:eastAsia="ru-RU"/>
              </w:rPr>
            </w:pPr>
            <w:r w:rsidRPr="006D4696">
              <w:rPr>
                <w:rFonts w:eastAsia="Times New Roman"/>
                <w:b/>
                <w:bCs/>
                <w:sz w:val="23"/>
                <w:szCs w:val="23"/>
                <w:lang w:eastAsia="ru-RU"/>
              </w:rPr>
              <w:t>Условия расторжения договора</w:t>
            </w:r>
          </w:p>
        </w:tc>
        <w:tc>
          <w:tcPr>
            <w:tcW w:w="11624" w:type="dxa"/>
            <w:shd w:val="clear" w:color="000000" w:fill="FFFFFF"/>
            <w:vAlign w:val="center"/>
            <w:hideMark/>
          </w:tcPr>
          <w:p w:rsidR="006D4696" w:rsidRPr="006D4696" w:rsidRDefault="006D4696" w:rsidP="00C27ECD">
            <w:pPr>
              <w:rPr>
                <w:rFonts w:eastAsia="Times New Roman"/>
                <w:sz w:val="20"/>
                <w:szCs w:val="20"/>
                <w:lang w:eastAsia="ru-RU"/>
              </w:rPr>
            </w:pPr>
            <w:r w:rsidRPr="006D4696">
              <w:rPr>
                <w:rFonts w:eastAsia="Times New Roman"/>
                <w:sz w:val="20"/>
                <w:szCs w:val="20"/>
                <w:lang w:eastAsia="ru-RU"/>
              </w:rPr>
              <w:t>Договор энергоснабжения может быть расторгнут в порядке, предусмотренном условиями договора и действующим законодательством РФ.</w:t>
            </w:r>
          </w:p>
        </w:tc>
      </w:tr>
      <w:tr w:rsidR="00C27ECD" w:rsidRPr="006D4696" w:rsidTr="008651CE">
        <w:trPr>
          <w:trHeight w:val="20"/>
          <w:jc w:val="center"/>
        </w:trPr>
        <w:tc>
          <w:tcPr>
            <w:tcW w:w="590" w:type="dxa"/>
            <w:vMerge/>
            <w:vAlign w:val="center"/>
            <w:hideMark/>
          </w:tcPr>
          <w:p w:rsidR="006D4696" w:rsidRPr="006D4696" w:rsidRDefault="006D4696" w:rsidP="008651CE">
            <w:pPr>
              <w:jc w:val="center"/>
              <w:rPr>
                <w:rFonts w:eastAsia="Times New Roman"/>
                <w:b/>
                <w:bCs/>
                <w:sz w:val="28"/>
                <w:szCs w:val="32"/>
                <w:lang w:eastAsia="ru-RU"/>
              </w:rPr>
            </w:pPr>
          </w:p>
        </w:tc>
        <w:tc>
          <w:tcPr>
            <w:tcW w:w="347" w:type="dxa"/>
            <w:shd w:val="clear" w:color="auto" w:fill="auto"/>
            <w:noWrap/>
            <w:vAlign w:val="center"/>
            <w:hideMark/>
          </w:tcPr>
          <w:p w:rsidR="006D4696" w:rsidRPr="006D4696" w:rsidRDefault="006D4696" w:rsidP="0010490A">
            <w:pPr>
              <w:jc w:val="center"/>
              <w:rPr>
                <w:rFonts w:eastAsia="Times New Roman"/>
                <w:b/>
                <w:bCs/>
                <w:lang w:eastAsia="ru-RU"/>
              </w:rPr>
            </w:pPr>
            <w:r w:rsidRPr="006D4696">
              <w:rPr>
                <w:rFonts w:eastAsia="Times New Roman"/>
                <w:b/>
                <w:bCs/>
                <w:lang w:eastAsia="ru-RU"/>
              </w:rPr>
              <w:t>7</w:t>
            </w:r>
          </w:p>
        </w:tc>
        <w:tc>
          <w:tcPr>
            <w:tcW w:w="3027" w:type="dxa"/>
            <w:shd w:val="clear" w:color="auto" w:fill="auto"/>
            <w:noWrap/>
            <w:vAlign w:val="center"/>
            <w:hideMark/>
          </w:tcPr>
          <w:p w:rsidR="006D4696" w:rsidRPr="006D4696" w:rsidRDefault="006D4696" w:rsidP="0010490A">
            <w:pPr>
              <w:jc w:val="center"/>
              <w:rPr>
                <w:rFonts w:eastAsia="Times New Roman"/>
                <w:b/>
                <w:bCs/>
                <w:sz w:val="23"/>
                <w:szCs w:val="23"/>
                <w:lang w:eastAsia="ru-RU"/>
              </w:rPr>
            </w:pPr>
            <w:r w:rsidRPr="006D4696">
              <w:rPr>
                <w:rFonts w:eastAsia="Times New Roman"/>
                <w:b/>
                <w:bCs/>
                <w:sz w:val="23"/>
                <w:szCs w:val="23"/>
                <w:lang w:eastAsia="ru-RU"/>
              </w:rPr>
              <w:t>Ответственность сторон</w:t>
            </w:r>
          </w:p>
        </w:tc>
        <w:tc>
          <w:tcPr>
            <w:tcW w:w="11624" w:type="dxa"/>
            <w:shd w:val="clear" w:color="000000" w:fill="FFFFFF"/>
            <w:vAlign w:val="center"/>
            <w:hideMark/>
          </w:tcPr>
          <w:p w:rsidR="006D4696" w:rsidRPr="006D4696" w:rsidRDefault="006D4696" w:rsidP="00C27ECD">
            <w:pPr>
              <w:rPr>
                <w:rFonts w:eastAsia="Times New Roman"/>
                <w:sz w:val="20"/>
                <w:szCs w:val="20"/>
                <w:lang w:eastAsia="ru-RU"/>
              </w:rPr>
            </w:pPr>
            <w:r w:rsidRPr="006D4696">
              <w:rPr>
                <w:rFonts w:eastAsia="Times New Roman"/>
                <w:sz w:val="20"/>
                <w:szCs w:val="20"/>
                <w:lang w:eastAsia="ru-RU"/>
              </w:rPr>
              <w:t>Ответственность ГП: за неисполнение или ненадлежащее исполнение обязательств по договору энергоснабжения. Наличие оснований и размер ответственности гарантирующего поставщика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r w:rsidRPr="006D4696">
              <w:rPr>
                <w:rFonts w:eastAsia="Times New Roman"/>
                <w:sz w:val="20"/>
                <w:szCs w:val="20"/>
                <w:lang w:eastAsia="ru-RU"/>
              </w:rPr>
              <w:br/>
              <w:t>Ответственность потребителя: за ненадлежащее исполнение взятых на себя  обязательств по договору энергоснабжения: за несвоевременную оплату электрической энергии (мощности); за необеспечение надлежащего технического состояния и безопасности эксплуатируемых энергетических сетей, приборов и оборудования, за соблюдение режимов потребления электрической энергии, поддержание соотношения потребления активной и реактивной мощности  и других требований, установленных законодательством Российской Федерации.</w:t>
            </w:r>
          </w:p>
        </w:tc>
      </w:tr>
      <w:tr w:rsidR="00C27ECD" w:rsidRPr="006D4696" w:rsidTr="008651CE">
        <w:trPr>
          <w:trHeight w:val="20"/>
          <w:jc w:val="center"/>
        </w:trPr>
        <w:tc>
          <w:tcPr>
            <w:tcW w:w="590" w:type="dxa"/>
            <w:vMerge/>
            <w:vAlign w:val="center"/>
            <w:hideMark/>
          </w:tcPr>
          <w:p w:rsidR="006D4696" w:rsidRPr="006D4696" w:rsidRDefault="006D4696" w:rsidP="008651CE">
            <w:pPr>
              <w:jc w:val="center"/>
              <w:rPr>
                <w:rFonts w:eastAsia="Times New Roman"/>
                <w:b/>
                <w:bCs/>
                <w:sz w:val="28"/>
                <w:szCs w:val="32"/>
                <w:lang w:eastAsia="ru-RU"/>
              </w:rPr>
            </w:pPr>
          </w:p>
        </w:tc>
        <w:tc>
          <w:tcPr>
            <w:tcW w:w="347" w:type="dxa"/>
            <w:shd w:val="clear" w:color="auto" w:fill="auto"/>
            <w:noWrap/>
            <w:vAlign w:val="center"/>
            <w:hideMark/>
          </w:tcPr>
          <w:p w:rsidR="006D4696" w:rsidRPr="006D4696" w:rsidRDefault="006D4696" w:rsidP="0010490A">
            <w:pPr>
              <w:jc w:val="center"/>
              <w:rPr>
                <w:rFonts w:eastAsia="Times New Roman"/>
                <w:b/>
                <w:bCs/>
                <w:lang w:eastAsia="ru-RU"/>
              </w:rPr>
            </w:pPr>
            <w:r w:rsidRPr="006D4696">
              <w:rPr>
                <w:rFonts w:eastAsia="Times New Roman"/>
                <w:b/>
                <w:bCs/>
                <w:lang w:eastAsia="ru-RU"/>
              </w:rPr>
              <w:t>8</w:t>
            </w:r>
          </w:p>
        </w:tc>
        <w:tc>
          <w:tcPr>
            <w:tcW w:w="3027" w:type="dxa"/>
            <w:shd w:val="clear" w:color="auto" w:fill="auto"/>
            <w:vAlign w:val="center"/>
            <w:hideMark/>
          </w:tcPr>
          <w:p w:rsidR="006D4696" w:rsidRPr="006D4696" w:rsidRDefault="006D4696" w:rsidP="00C27ECD">
            <w:pPr>
              <w:jc w:val="center"/>
              <w:rPr>
                <w:rFonts w:eastAsia="Times New Roman"/>
                <w:b/>
                <w:bCs/>
                <w:sz w:val="23"/>
                <w:szCs w:val="23"/>
                <w:lang w:eastAsia="ru-RU"/>
              </w:rPr>
            </w:pPr>
            <w:r w:rsidRPr="006D4696">
              <w:rPr>
                <w:rFonts w:eastAsia="Times New Roman"/>
                <w:b/>
                <w:bCs/>
                <w:sz w:val="23"/>
                <w:szCs w:val="23"/>
                <w:lang w:eastAsia="ru-RU"/>
              </w:rPr>
              <w:t>Иная</w:t>
            </w:r>
            <w:r w:rsidR="008651CE">
              <w:rPr>
                <w:rFonts w:eastAsia="Times New Roman"/>
                <w:b/>
                <w:bCs/>
                <w:sz w:val="23"/>
                <w:szCs w:val="23"/>
                <w:lang w:eastAsia="ru-RU"/>
              </w:rPr>
              <w:t>,</w:t>
            </w:r>
            <w:r w:rsidRPr="006D4696">
              <w:rPr>
                <w:rFonts w:eastAsia="Times New Roman"/>
                <w:b/>
                <w:bCs/>
                <w:sz w:val="23"/>
                <w:szCs w:val="23"/>
                <w:lang w:eastAsia="ru-RU"/>
              </w:rPr>
              <w:t xml:space="preserve"> </w:t>
            </w:r>
            <w:r w:rsidR="00C27ECD" w:rsidRPr="006D4696">
              <w:rPr>
                <w:rFonts w:eastAsia="Times New Roman"/>
                <w:b/>
                <w:bCs/>
                <w:sz w:val="23"/>
                <w:szCs w:val="23"/>
                <w:lang w:eastAsia="ru-RU"/>
              </w:rPr>
              <w:t>существенн</w:t>
            </w:r>
            <w:r w:rsidR="00C27ECD" w:rsidRPr="00C27ECD">
              <w:rPr>
                <w:rFonts w:eastAsia="Times New Roman"/>
                <w:b/>
                <w:bCs/>
                <w:sz w:val="23"/>
                <w:szCs w:val="23"/>
                <w:lang w:eastAsia="ru-RU"/>
              </w:rPr>
              <w:t>ая</w:t>
            </w:r>
            <w:r w:rsidR="00C27ECD" w:rsidRPr="006D4696">
              <w:rPr>
                <w:rFonts w:eastAsia="Times New Roman"/>
                <w:b/>
                <w:bCs/>
                <w:sz w:val="23"/>
                <w:szCs w:val="23"/>
                <w:lang w:eastAsia="ru-RU"/>
              </w:rPr>
              <w:t xml:space="preserve"> для потребителей</w:t>
            </w:r>
            <w:r w:rsidR="00C27ECD" w:rsidRPr="00C27ECD">
              <w:rPr>
                <w:rFonts w:eastAsia="Times New Roman"/>
                <w:b/>
                <w:bCs/>
                <w:sz w:val="23"/>
                <w:szCs w:val="23"/>
                <w:lang w:eastAsia="ru-RU"/>
              </w:rPr>
              <w:t xml:space="preserve"> информация</w:t>
            </w:r>
          </w:p>
        </w:tc>
        <w:tc>
          <w:tcPr>
            <w:tcW w:w="11624" w:type="dxa"/>
            <w:shd w:val="clear" w:color="000000" w:fill="FFFFFF"/>
            <w:vAlign w:val="center"/>
            <w:hideMark/>
          </w:tcPr>
          <w:p w:rsidR="006D4696" w:rsidRPr="006D4696" w:rsidRDefault="006D4696" w:rsidP="00C27ECD">
            <w:pPr>
              <w:rPr>
                <w:rFonts w:eastAsia="Times New Roman"/>
                <w:sz w:val="20"/>
                <w:szCs w:val="20"/>
                <w:lang w:eastAsia="ru-RU"/>
              </w:rPr>
            </w:pPr>
            <w:r w:rsidRPr="006D4696">
              <w:rPr>
                <w:rFonts w:eastAsia="Times New Roman"/>
                <w:sz w:val="20"/>
                <w:szCs w:val="20"/>
                <w:lang w:eastAsia="ru-RU"/>
              </w:rPr>
              <w:t>Документы, необходимые для заключения договора энергоснабжения,</w:t>
            </w:r>
            <w:r w:rsidR="00C27ECD">
              <w:rPr>
                <w:rFonts w:eastAsia="Times New Roman"/>
                <w:sz w:val="20"/>
                <w:szCs w:val="20"/>
                <w:lang w:eastAsia="ru-RU"/>
              </w:rPr>
              <w:t xml:space="preserve"> </w:t>
            </w:r>
            <w:r w:rsidRPr="006D4696">
              <w:rPr>
                <w:rFonts w:eastAsia="Times New Roman"/>
                <w:sz w:val="20"/>
                <w:szCs w:val="20"/>
                <w:lang w:eastAsia="ru-RU"/>
              </w:rPr>
              <w:t>информация о порядке его заключения, информация о допуске приборов учета в эксплуатацию,  о получении потребителями информации о статусе заключаемого договора энергоснабжения и иная информации размещена на официальном сайте АО "Охинская ТЭЦ": http://tec-okha.my1.ru/</w:t>
            </w:r>
          </w:p>
        </w:tc>
      </w:tr>
    </w:tbl>
    <w:p w:rsidR="006D4696" w:rsidRPr="00C422B1" w:rsidRDefault="006D4696" w:rsidP="00556978">
      <w:pPr>
        <w:rPr>
          <w:szCs w:val="20"/>
        </w:rPr>
      </w:pPr>
    </w:p>
    <w:sectPr w:rsidR="006D4696" w:rsidRPr="00C422B1" w:rsidSect="00C27ECD">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96"/>
    <w:rsid w:val="00556978"/>
    <w:rsid w:val="00585BD5"/>
    <w:rsid w:val="006D4696"/>
    <w:rsid w:val="008651CE"/>
    <w:rsid w:val="00A85896"/>
    <w:rsid w:val="00C27ECD"/>
    <w:rsid w:val="00C42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91C7"/>
  <w15:chartTrackingRefBased/>
  <w15:docId w15:val="{676F6179-67E4-4D48-9E0B-9298E1E1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978"/>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8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Пикунов Тимофей Владимирович</dc:creator>
  <cp:keywords/>
  <dc:description/>
  <cp:lastModifiedBy>Пикунов Тимофей Владимирович</cp:lastModifiedBy>
  <cp:revision>2</cp:revision>
  <dcterms:created xsi:type="dcterms:W3CDTF">2025-04-30T02:32:00Z</dcterms:created>
  <dcterms:modified xsi:type="dcterms:W3CDTF">2025-04-30T02:57:00Z</dcterms:modified>
</cp:coreProperties>
</file>